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b/>
          <w:sz w:val="28"/>
        </w:rPr>
      </w:pPr>
      <w:r>
        <w:rPr>
          <w:b/>
          <w:sz w:val="28"/>
        </w:rPr>
        <w:t xml:space="preserve">BEFORE THE PUBLIC UTILITIES COMMISSION </w:t>
      </w:r>
    </w:p>
    <w:p>
      <w:pPr>
        <w:pStyle w:val="Normal"/>
        <w:spacing w:lineRule="auto" w:line="240"/>
        <w:jc w:val="center"/>
        <w:rPr>
          <w:b/>
        </w:rPr>
      </w:pPr>
      <w:r>
        <w:rPr>
          <w:b/>
          <w:sz w:val="28"/>
        </w:rPr>
        <w:t>OF THE STATE OF CALIFORNIA</w:t>
      </w:r>
    </w:p>
    <w:p>
      <w:pPr>
        <w:pStyle w:val="Normal"/>
        <w:spacing w:lineRule="auto" w:line="240"/>
        <w:jc w:val="center"/>
        <w:rPr>
          <w:b/>
        </w:rPr>
      </w:pPr>
      <w:r>
        <w:rPr>
          <w:b/>
        </w:rPr>
      </w:r>
    </w:p>
    <w:p>
      <w:pPr>
        <w:pStyle w:val="Normal"/>
        <w:spacing w:lineRule="auto" w:line="240"/>
        <w:jc w:val="center"/>
        <w:rPr>
          <w:b/>
        </w:rPr>
      </w:pPr>
      <w:r>
        <w:rPr>
          <w:b/>
        </w:rPr>
      </w:r>
    </w:p>
    <w:p>
      <w:pPr>
        <w:pStyle w:val="Normal"/>
        <w:spacing w:lineRule="auto" w:line="240"/>
        <w:rPr/>
      </w:pPr>
      <w:r>
        <w:rPr/>
        <w:t>Investigation on the Commission’s Own Motion</w:t>
        <w:tab/>
        <w:tab/>
        <w:t>)</w:t>
      </w:r>
    </w:p>
    <w:p>
      <w:pPr>
        <w:pStyle w:val="Normal"/>
        <w:spacing w:lineRule="auto" w:line="240"/>
        <w:rPr/>
      </w:pPr>
      <w:r>
        <w:rPr/>
        <w:t>To Consider the Costs and Benefits of Various</w:t>
        <w:tab/>
        <w:tab/>
        <w:t>)</w:t>
      </w:r>
    </w:p>
    <w:p>
      <w:pPr>
        <w:pStyle w:val="Normal"/>
        <w:spacing w:lineRule="auto" w:line="240"/>
        <w:rPr/>
      </w:pPr>
      <w:r>
        <w:rPr/>
        <w:t xml:space="preserve">Promising Revisions to the Regulatory and </w:t>
        <w:tab/>
        <w:tab/>
        <w:t>)</w:t>
        <w:tab/>
        <w:t>I.99-07-003</w:t>
      </w:r>
    </w:p>
    <w:p>
      <w:pPr>
        <w:pStyle w:val="Normal"/>
        <w:spacing w:lineRule="auto" w:line="240"/>
        <w:rPr/>
      </w:pPr>
      <w:r>
        <w:rPr/>
        <w:t>Market Structure Governing California’s Natural</w:t>
        <w:tab/>
        <w:t>)</w:t>
      </w:r>
    </w:p>
    <w:p>
      <w:pPr>
        <w:pStyle w:val="Normal"/>
        <w:spacing w:lineRule="auto" w:line="240"/>
        <w:rPr/>
      </w:pPr>
      <w:r>
        <w:rPr/>
        <w:t>Gas Industry and to Report to the California</w:t>
        <w:tab/>
        <w:tab/>
        <w:t>)</w:t>
      </w:r>
    </w:p>
    <w:p>
      <w:pPr>
        <w:pStyle w:val="Normal"/>
        <w:spacing w:lineRule="auto" w:line="240"/>
        <w:rPr/>
      </w:pPr>
      <w:r>
        <w:rPr/>
        <w:t>Legislature on the Commission’s Findings.</w:t>
        <w:tab/>
        <w:tab/>
        <w:t>)</w:t>
      </w:r>
    </w:p>
    <w:p>
      <w:pPr>
        <w:pStyle w:val="Normal"/>
        <w:spacing w:lineRule="auto" w:line="240"/>
        <w:rPr/>
      </w:pPr>
      <w:r>
        <w:rPr>
          <w:u w:val="single"/>
        </w:rPr>
        <w:tab/>
        <w:tab/>
        <w:tab/>
        <w:tab/>
        <w:tab/>
        <w:tab/>
        <w:tab/>
        <w:tab/>
      </w:r>
      <w:r>
        <w:rPr/>
        <w:t>)</w:t>
      </w:r>
    </w:p>
    <w:p>
      <w:pPr>
        <w:pStyle w:val="Normal"/>
        <w:rPr/>
      </w:pPr>
      <w:r>
        <w:rPr/>
      </w:r>
    </w:p>
    <w:p>
      <w:pPr>
        <w:pStyle w:val="Normal"/>
        <w:rPr/>
      </w:pPr>
      <w:r>
        <w:rPr/>
      </w:r>
    </w:p>
    <w:p>
      <w:pPr>
        <w:pStyle w:val="Normal"/>
        <w:rPr/>
      </w:pPr>
      <w:r>
        <w:rPr/>
      </w:r>
    </w:p>
    <w:p>
      <w:pPr>
        <w:pStyle w:val="Normal"/>
        <w:rPr/>
      </w:pPr>
      <w:r>
        <w:rPr/>
      </w:r>
    </w:p>
    <w:p>
      <w:pPr>
        <w:pStyle w:val="Heading4"/>
        <w:numPr>
          <w:ilvl w:val="0"/>
          <w:numId w:val="0"/>
        </w:numPr>
        <w:ind w:hanging="0" w:start="0"/>
        <w:jc w:val="center"/>
        <w:rPr/>
      </w:pPr>
      <w:r>
        <w:rPr/>
        <w:t>REPLY BRIEF OF THE UTILITY REFORM NETWORK</w:t>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tabs>
          <w:tab w:val="clear" w:pos="720"/>
          <w:tab w:val="left" w:pos="0" w:leader="none"/>
          <w:tab w:val="left" w:pos="4320" w:leader="none"/>
          <w:tab w:val="left" w:pos="6480" w:leader="none"/>
          <w:tab w:val="left" w:pos="7200" w:leader="none"/>
          <w:tab w:val="left" w:pos="7920" w:leader="none"/>
          <w:tab w:val="left" w:pos="8640" w:leader="none"/>
        </w:tabs>
        <w:spacing w:lineRule="auto" w:line="240"/>
        <w:ind w:hanging="4320" w:start="4320" w:end="-432"/>
        <w:rPr/>
      </w:pPr>
      <w:r>
        <w:rPr/>
        <w:tab/>
      </w:r>
      <w:r>
        <w:rPr>
          <w:b/>
        </w:rPr>
        <w:t>THE UTILITY REFORM NETWORK</w:t>
        <w:tab/>
      </w:r>
    </w:p>
    <w:p>
      <w:pPr>
        <w:pStyle w:val="Normal"/>
        <w:tabs>
          <w:tab w:val="clear" w:pos="720"/>
          <w:tab w:val="left" w:pos="0" w:leader="none"/>
          <w:tab w:val="left" w:pos="4320" w:leader="none"/>
          <w:tab w:val="left" w:pos="6480" w:leader="none"/>
          <w:tab w:val="left" w:pos="7200" w:leader="none"/>
          <w:tab w:val="left" w:pos="7920" w:leader="none"/>
          <w:tab w:val="left" w:pos="8640" w:leader="none"/>
        </w:tabs>
        <w:spacing w:lineRule="auto" w:line="240"/>
        <w:ind w:hanging="4320" w:start="4320" w:end="-432"/>
        <w:rPr/>
      </w:pPr>
      <w:r>
        <w:rPr/>
        <w:tab/>
        <w:t>711 Van Ness Avenue, Suite 350</w:t>
        <w:tab/>
      </w:r>
    </w:p>
    <w:p>
      <w:pPr>
        <w:pStyle w:val="Normal"/>
        <w:tabs>
          <w:tab w:val="clear" w:pos="720"/>
          <w:tab w:val="left" w:pos="0" w:leader="none"/>
          <w:tab w:val="left" w:pos="4320" w:leader="none"/>
          <w:tab w:val="left" w:pos="6480" w:leader="none"/>
          <w:tab w:val="left" w:pos="7200" w:leader="none"/>
          <w:tab w:val="left" w:pos="7920" w:leader="none"/>
          <w:tab w:val="left" w:pos="8640" w:leader="none"/>
        </w:tabs>
        <w:spacing w:lineRule="auto" w:line="240"/>
        <w:ind w:hanging="4320" w:start="4320" w:end="-432"/>
        <w:rPr/>
      </w:pPr>
      <w:r>
        <w:rPr/>
        <w:tab/>
        <w:t>San Francisco, CA 94102</w:t>
        <w:tab/>
      </w:r>
    </w:p>
    <w:p>
      <w:pPr>
        <w:pStyle w:val="Normal"/>
        <w:tabs>
          <w:tab w:val="clear" w:pos="720"/>
          <w:tab w:val="left" w:pos="0" w:leader="none"/>
          <w:tab w:val="left" w:pos="4320" w:leader="none"/>
          <w:tab w:val="left" w:pos="5760" w:leader="none"/>
          <w:tab w:val="left" w:pos="6480" w:leader="none"/>
          <w:tab w:val="left" w:pos="7200" w:leader="none"/>
          <w:tab w:val="left" w:pos="7920" w:leader="none"/>
          <w:tab w:val="left" w:pos="8640" w:leader="none"/>
        </w:tabs>
        <w:spacing w:lineRule="auto" w:line="240"/>
        <w:ind w:hanging="4320" w:start="4320" w:end="-432"/>
        <w:rPr/>
      </w:pPr>
      <w:r>
        <w:rPr/>
        <w:tab/>
        <w:t>Phone:  (415) 929-8876</w:t>
        <w:tab/>
      </w:r>
    </w:p>
    <w:p>
      <w:pPr>
        <w:pStyle w:val="Normal"/>
        <w:tabs>
          <w:tab w:val="clear" w:pos="720"/>
          <w:tab w:val="left" w:pos="0" w:leader="none"/>
          <w:tab w:val="left" w:pos="4320" w:leader="none"/>
          <w:tab w:val="left" w:pos="5760" w:leader="none"/>
          <w:tab w:val="left" w:pos="6480" w:leader="none"/>
          <w:tab w:val="left" w:pos="7200" w:leader="none"/>
          <w:tab w:val="left" w:pos="7920" w:leader="none"/>
          <w:tab w:val="left" w:pos="8640" w:leader="none"/>
        </w:tabs>
        <w:spacing w:lineRule="auto" w:line="240"/>
        <w:ind w:end="-432"/>
        <w:rPr/>
      </w:pPr>
      <w:r>
        <w:rPr/>
        <w:tab/>
        <w:t>Fax:  (415) 929-1132</w:t>
        <w:tab/>
      </w:r>
    </w:p>
    <w:p>
      <w:pPr>
        <w:pStyle w:val="Normal"/>
        <w:tabs>
          <w:tab w:val="clear" w:pos="720"/>
          <w:tab w:val="left" w:pos="0" w:leader="none"/>
          <w:tab w:val="left" w:pos="4320" w:leader="none"/>
          <w:tab w:val="left" w:pos="5760" w:leader="none"/>
          <w:tab w:val="left" w:pos="6480" w:leader="none"/>
          <w:tab w:val="left" w:pos="7200" w:leader="none"/>
          <w:tab w:val="left" w:pos="7920" w:leader="none"/>
          <w:tab w:val="left" w:pos="8640" w:leader="none"/>
        </w:tabs>
        <w:spacing w:lineRule="auto" w:line="240"/>
        <w:ind w:hanging="4320" w:start="4320" w:end="-432"/>
        <w:rPr/>
      </w:pPr>
      <w:r>
        <w:rPr/>
        <w:tab/>
        <w:t>Email:  marcel@turn.org</w:t>
      </w:r>
    </w:p>
    <w:p>
      <w:pPr>
        <w:pStyle w:val="Normal"/>
        <w:tabs>
          <w:tab w:val="clear" w:pos="720"/>
          <w:tab w:val="left" w:pos="0" w:leader="none"/>
          <w:tab w:val="left" w:pos="4320" w:leader="none"/>
          <w:tab w:val="left" w:pos="6480" w:leader="none"/>
          <w:tab w:val="left" w:pos="7200" w:leader="none"/>
          <w:tab w:val="left" w:pos="7920" w:leader="none"/>
          <w:tab w:val="left" w:pos="8640" w:leader="none"/>
        </w:tabs>
        <w:spacing w:lineRule="auto" w:line="240"/>
        <w:ind w:hanging="4320" w:start="4320" w:end="-432"/>
        <w:rPr/>
      </w:pPr>
      <w:r>
        <w:rPr/>
      </w:r>
    </w:p>
    <w:p>
      <w:pPr>
        <w:pStyle w:val="Normal"/>
        <w:tabs>
          <w:tab w:val="clear" w:pos="720"/>
          <w:tab w:val="left" w:pos="0" w:leader="none"/>
          <w:tab w:val="left" w:pos="4320" w:leader="none"/>
          <w:tab w:val="left" w:pos="6480" w:leader="none"/>
          <w:tab w:val="left" w:pos="7200" w:leader="none"/>
          <w:tab w:val="left" w:pos="7920" w:leader="none"/>
          <w:tab w:val="left" w:pos="8640" w:leader="none"/>
        </w:tabs>
        <w:spacing w:lineRule="auto" w:line="240"/>
        <w:ind w:hanging="4320" w:start="4320" w:end="-432"/>
        <w:rPr/>
      </w:pPr>
      <w:r>
        <w:rPr/>
      </w:r>
    </w:p>
    <w:p>
      <w:pPr>
        <w:pStyle w:val="Normal"/>
        <w:tabs>
          <w:tab w:val="clear" w:pos="720"/>
          <w:tab w:val="left" w:pos="0" w:leader="none"/>
          <w:tab w:val="left" w:pos="4320" w:leader="none"/>
          <w:tab w:val="left" w:pos="6480" w:leader="none"/>
          <w:tab w:val="left" w:pos="7200" w:leader="none"/>
          <w:tab w:val="left" w:pos="7920" w:leader="none"/>
          <w:tab w:val="left" w:pos="8640" w:leader="none"/>
        </w:tabs>
        <w:spacing w:lineRule="auto" w:line="240"/>
        <w:ind w:hanging="4320" w:start="4320" w:end="-432"/>
        <w:rPr/>
      </w:pPr>
      <w:r>
        <w:rPr/>
        <w:tab/>
        <w:t>Marcel Hawiger, Staff Attorney</w:t>
      </w:r>
    </w:p>
    <w:p>
      <w:pPr>
        <w:pStyle w:val="Normal"/>
        <w:tabs>
          <w:tab w:val="clear" w:pos="720"/>
          <w:tab w:val="left" w:pos="0" w:leader="none"/>
          <w:tab w:val="left" w:pos="4320" w:leader="none"/>
          <w:tab w:val="left" w:pos="6480" w:leader="none"/>
          <w:tab w:val="left" w:pos="7200" w:leader="none"/>
          <w:tab w:val="left" w:pos="7920" w:leader="none"/>
          <w:tab w:val="left" w:pos="8640" w:leader="none"/>
        </w:tabs>
        <w:spacing w:lineRule="auto" w:line="240"/>
        <w:ind w:end="-432"/>
        <w:rPr/>
      </w:pPr>
      <w:r>
        <w:rPr/>
        <w:tab/>
        <w:t>Michel Peter Florio, Senior Attorney</w:t>
      </w:r>
    </w:p>
    <w:p>
      <w:pPr>
        <w:pStyle w:val="Normal"/>
        <w:tabs>
          <w:tab w:val="clear" w:pos="720"/>
          <w:tab w:val="left" w:pos="0" w:leader="none"/>
          <w:tab w:val="left" w:pos="2160" w:leader="none"/>
          <w:tab w:val="left" w:pos="4320" w:leader="none"/>
          <w:tab w:val="left" w:pos="6480" w:leader="none"/>
          <w:tab w:val="left" w:pos="7200" w:leader="none"/>
          <w:tab w:val="left" w:pos="7920" w:leader="none"/>
          <w:tab w:val="left" w:pos="8640" w:leader="none"/>
        </w:tabs>
        <w:spacing w:lineRule="auto" w:line="240"/>
        <w:ind w:end="-432"/>
        <w:rPr/>
      </w:pPr>
      <w:r>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0" w:leader="none"/>
          <w:tab w:val="left" w:pos="2160" w:leader="none"/>
          <w:tab w:val="left" w:pos="4320" w:leader="none"/>
          <w:tab w:val="left" w:pos="6480" w:leader="none"/>
          <w:tab w:val="left" w:pos="7200" w:leader="none"/>
          <w:tab w:val="left" w:pos="7920" w:leader="none"/>
          <w:tab w:val="left" w:pos="8640" w:leader="none"/>
        </w:tabs>
        <w:spacing w:lineRule="auto" w:line="240"/>
        <w:ind w:end="-432"/>
        <w:rPr>
          <w:b/>
        </w:rPr>
      </w:pPr>
      <w:r>
        <w:rPr/>
        <w:t>Dated:  July 31, 2000</w:t>
      </w:r>
    </w:p>
    <w:p>
      <w:pPr>
        <w:pStyle w:val="Normal"/>
        <w:jc w:val="center"/>
        <w:rPr>
          <w:b/>
        </w:rPr>
      </w:pPr>
      <w:r>
        <w:rPr>
          <w:b/>
        </w:rPr>
        <w:t>REPLY BRIEF OF THE UTILITY REFORM NETWORK</w:t>
      </w:r>
    </w:p>
    <w:p>
      <w:pPr>
        <w:pStyle w:val="Normal"/>
        <w:rPr>
          <w:b/>
        </w:rPr>
      </w:pPr>
      <w:r>
        <w:rPr>
          <w:b/>
        </w:rPr>
      </w:r>
    </w:p>
    <w:p>
      <w:pPr>
        <w:pStyle w:val="Heading1"/>
        <w:ind w:hanging="0" w:start="0"/>
        <w:rPr/>
      </w:pPr>
      <w:r>
        <w:rPr/>
        <w:t>introduction</w:t>
      </w:r>
    </w:p>
    <w:p>
      <w:pPr>
        <w:pStyle w:val="Normal"/>
        <w:spacing w:lineRule="auto" w:line="240"/>
        <w:ind w:start="720" w:end="0"/>
        <w:rPr/>
      </w:pPr>
      <w:r>
        <w:rPr/>
      </w:r>
    </w:p>
    <w:p>
      <w:pPr>
        <w:pStyle w:val="Normal"/>
        <w:ind w:firstLine="720" w:end="0"/>
        <w:rPr/>
      </w:pPr>
      <w:r>
        <w:rPr/>
        <w:t xml:space="preserve">Pursuant to the procedural schedule established by Presiding Administrative Law Judge Andrea Biren, The Utility Reform Network (TURN) submits this reply brief on the costs and benefits of the most promising options for reform of the SoCalGas natural gas system. </w:t>
      </w:r>
    </w:p>
    <w:p>
      <w:pPr>
        <w:pStyle w:val="Normal"/>
        <w:ind w:firstLine="720" w:end="0"/>
        <w:rPr/>
      </w:pPr>
      <w:r>
        <w:rPr/>
        <w:t>In its opening brief TURN already examined the costs and benefits of the two main competing settlements before the Commission – the Post-Interim Settlement Agreement (PSA), which includes the Interim Settlement Agreement (ISA) in its entirety, and the Comprehensive Settlement Agreement (CSA).  Thus, TURN has already addressed many of the arguments raised by supporters of the Comprehensive Settlement Agreement in their opening briefs.  Rather than repeating itself, TURN limits its reply only to certain factual allegations.</w:t>
      </w:r>
    </w:p>
    <w:p>
      <w:pPr>
        <w:pStyle w:val="Normal"/>
        <w:ind w:firstLine="720" w:end="0"/>
        <w:rPr/>
      </w:pPr>
      <w:r>
        <w:rPr/>
        <w:t>Most of the signatories to the Comprehensive Settlement Agreement made similar rhetorical arguments regarding the alleged benefits of the CSA.  Not surprisingly, the opening brief of the Office of Ratepayer Advocates (ORA) provided the most factual basis for the contention that the Comprehensive Settlement Agreement holds any promise of benefits for ratepayers, including core ratepayers.  For this reason, TURN focuses its response to the claims presented by ORA.  TURN replies to other allegations only if distinctly different from those of ORA.</w:t>
      </w:r>
    </w:p>
    <w:p>
      <w:pPr>
        <w:pStyle w:val="Normal"/>
        <w:ind w:firstLine="720" w:end="0"/>
        <w:rPr/>
      </w:pPr>
      <w:r>
        <w:rPr/>
        <w:t>ORA supports the CSA and argues that its benefits will outweigh possible costs.  While TURN respects the analysis of ORA, ORA’s position in this proceeding appears motivated less by concrete analysis and more by its presumption that the Commission’s expressed desire for unbundling of utility services is written in stone.</w:t>
      </w:r>
      <w:r>
        <w:rPr>
          <w:rStyle w:val="FootnoteCharacters"/>
          <w:rStyle w:val="FootnoteReference"/>
        </w:rPr>
        <w:footnoteReference w:id="2"/>
      </w:r>
      <w:r>
        <w:rPr/>
        <w:t xml:space="preserve">  However, while the Commission identified unbundling and greater competitive choice as key goals in this proceeding, the Commission also made clear that the final restructuring changes that will be proposed to the Legislature should be based on a consideration of a broad range of costs and benefits. (D.99-07-015, mimeo. p. 133.) </w:t>
      </w:r>
    </w:p>
    <w:p>
      <w:pPr>
        <w:pStyle w:val="Normal"/>
        <w:ind w:firstLine="720" w:end="0"/>
        <w:rPr/>
      </w:pPr>
      <w:r>
        <w:rPr/>
        <w:t>TURN believes that the CSA proponents have overestimated the expected benefits of unbundling and thus reached the wrong outcome concerning the balancing of costs and benefits. ORA ignores or minimizes several quantifiable costs.  A complete accounting indicates that the most likely outcome from adoption of the Comprehensive Settlement Agreement is greater risk and cost to core customers.</w:t>
      </w:r>
    </w:p>
    <w:p>
      <w:pPr>
        <w:pStyle w:val="Heading1"/>
        <w:ind w:hanging="0" w:start="0"/>
        <w:rPr/>
      </w:pPr>
      <w:r>
        <w:rPr/>
        <w:t>costs and benefits of the Comprehensive Settlement Agreement</w:t>
      </w:r>
    </w:p>
    <w:p>
      <w:pPr>
        <w:pStyle w:val="Heading2"/>
        <w:ind w:hanging="0" w:start="0"/>
        <w:rPr/>
      </w:pPr>
      <w:r>
        <w:rPr/>
        <w:t>Transmission</w:t>
      </w:r>
    </w:p>
    <w:p>
      <w:pPr>
        <w:pStyle w:val="Heading3"/>
        <w:ind w:hanging="0" w:start="0"/>
        <w:rPr/>
      </w:pPr>
      <w:r>
        <w:rPr/>
        <w:t>ORA Overestimates The Benefits Of Reserving A Specific Amount Of Backbone Capacity For The Core</w:t>
      </w:r>
    </w:p>
    <w:p>
      <w:pPr>
        <w:pStyle w:val="Header"/>
        <w:tabs>
          <w:tab w:val="clear" w:pos="4320"/>
          <w:tab w:val="clear" w:pos="8640"/>
        </w:tabs>
        <w:spacing w:lineRule="auto" w:line="240"/>
        <w:rPr/>
      </w:pPr>
      <w:r>
        <w:rPr/>
      </w:r>
    </w:p>
    <w:p>
      <w:pPr>
        <w:pStyle w:val="Normal"/>
        <w:rPr/>
      </w:pPr>
      <w:r>
        <w:rPr/>
        <w:tab/>
        <w:t>ORA lists four benefits to core customers resulting from unbundling backbone transmission: “(1) the methodology for unbundling avoids any cost shift to the core; (2) the core has flexibility to avoid future stranded backbone costs by reducing its reservation as the CTA program grows; (3) the core receives a favorable allocation of valuable Topock capacity; and (4) the 50/50 MFV rate design provides the Gas Acquisition Department with considerable flexibility in meeting core requirements.” (ORA at 13-14.)</w:t>
      </w:r>
      <w:r>
        <w:rPr>
          <w:rStyle w:val="FootnoteCharacters"/>
          <w:rStyle w:val="FootnoteReference"/>
        </w:rPr>
        <w:footnoteReference w:id="3"/>
      </w:r>
      <w:r>
        <w:rPr/>
        <w:t xml:space="preserve">  The actual record evidence shows that except for the allocation of Topock capacity, the remaining so-called “benefits” are either illusory or insignificant. </w:t>
      </w:r>
    </w:p>
    <w:p>
      <w:pPr>
        <w:pStyle w:val="Normal"/>
        <w:rPr/>
      </w:pPr>
      <w:r>
        <w:rPr/>
        <w:tab/>
        <w:t>ORA repeats the assertion of the CSA supporters that “no significant cost shift to the core” from embedded cost unbundling is a benefit of the Comprehensive Settlement Agreement.  ORA posits that a litigated outcome could have shifted some costs of backbone transmission unbundling to core customers by unbundling a lower amount of transmission costs.</w:t>
      </w:r>
    </w:p>
    <w:p>
      <w:pPr>
        <w:pStyle w:val="Normal"/>
        <w:rPr/>
      </w:pPr>
      <w:r>
        <w:rPr/>
        <w:tab/>
        <w:t xml:space="preserve">While it is indubitable that parties would have taken more self-serving litigation positions, the evidence indicates that the embedded cost unbundling in the Comprehensive Settlement Agreement was actually manipulated to disadvantage the core customer class.  As already detailed in TURN’s opening brief at pages 53-57, the functionalization of A&amp;G costs and the arbitrary reallocation of $4 million from backbone to local transmission costs shifted more of the costs to core customers.  Rather than reflecting a benefit to core customers, the “allocation neutral” methodology of the CSA probably prevented a cost shift from core to noncore customers! </w:t>
      </w:r>
    </w:p>
    <w:p>
      <w:pPr>
        <w:pStyle w:val="Normal"/>
        <w:rPr/>
      </w:pPr>
      <w:r>
        <w:rPr/>
        <w:tab/>
        <w:t>ORA attaches great significance to the ability of the core to modify annually its backbone reservation to account for increased core transport throughput, thus reducing “future stranded backbone costs.” (ORA at 14.)  TURN agrees that the ability to reduce the retail core transmission reservation is essential to prevent core from paying for unused transmission capacity.  However, this is not a “benefit” to the core, since it is only necessary due to the establishment of a fixed transmission reservation under the Comprehensive Settlement Agreement.  Under the current system, continued in the Post-Interim Settlement Agreement, retail core customers do not need a fixed transmission capacity reservation since they have the flexibility to nominate the transmission capacity which they require on a daily basis and pay only its marginal cost-based contribution to SoCalGas’ transmission revenue requirement.</w:t>
      </w:r>
    </w:p>
    <w:p>
      <w:pPr>
        <w:pStyle w:val="Normal"/>
        <w:rPr/>
      </w:pPr>
      <w:r>
        <w:rPr/>
        <w:tab/>
        <w:t xml:space="preserve">ORA calculates that the allocation of 290 MMcf/d of capacity at Topock represents an annual benefit of $3 million to the retail core. (ORA at 15.)  First, this “benefit” is based on a comparison with an alternative allocation of 200 MMcf/d at Topock, </w:t>
      </w:r>
      <w:r>
        <w:rPr>
          <w:u w:val="single"/>
        </w:rPr>
        <w:t>if</w:t>
      </w:r>
      <w:r>
        <w:rPr/>
        <w:t xml:space="preserve"> the receipt point capacity had been allocated on a pro rata basis.  It is not a comparison between the Comprehensive Settlement Agreement and the Post-Interim Settlement Agreement or even the current system, but a comparison to some worse outcome which no one has proposed.  The ORA calculation provides no basis for evaluating the proposals in front of the Commission.  But furthermore, the assumption that Topock capacity rights are more valuable is based on the current system of upstream capacity allocation by the El Paso natural gas pipeline.  In an ongoing complaint proceeding the Federal Energy Regulatory Commission (FERC) has already ordered El Paso to alter its system of capacity allocation at delivery and receipt points.  The ultimate value of Topock capacity will be affected by the resolution of that FERC proceeding and is currently unknown and highly speculative.</w:t>
      </w:r>
    </w:p>
    <w:p>
      <w:pPr>
        <w:pStyle w:val="Normal"/>
        <w:ind w:firstLine="720" w:end="0"/>
        <w:rPr/>
      </w:pPr>
      <w:r>
        <w:rPr/>
        <w:t xml:space="preserve">It is unlikely that a specific reservation of capacity at all receipt points, including Topock, will be a net benefit for core customers. The Post-Interim Settlement Agreement allows the retail core to nominate gas as needed and relies on the Gas Cost Incentive Mechanism (GCIM) regulatory framework to provide an incentive for efficient purchasing by the Gas Acquisition Department. In the section on Hub Services, ORA refers to the $7.1 million in hub revenues generated by SoCalGas in 1999.  In the same ORA GCIM Evaluation Report cited in the ORA opening brief, ORA concludes that SoCalGas’ 1998-99 gas purchasing resulted in cost savings of $18.1 million compared to the benchmark price.  TURN can only conclude that the current system works quite well to allow the core successfully to purchase low-cost gas supplies.  The Comprehensive Settlement Agreement locks the core into maximum capacity amounts at the three receipt points and may reduce the benefits obtained by the incentive structure created with the GCIM. </w:t>
      </w:r>
    </w:p>
    <w:p>
      <w:pPr>
        <w:pStyle w:val="Normal"/>
        <w:ind w:firstLine="720" w:end="0"/>
        <w:rPr/>
      </w:pPr>
      <w:r>
        <w:rPr/>
        <w:t>Lastly, ORA concludes that “the core benefits from the additional flexibility provided by the optional SFV and MFV rate designs” because it can “utilize any combination of SFV and MFV rate design for each receipt point.” (ORA at 15.) Once again, this so-called “benefit” is based on a comparison to what would have been if the Comprehensive Settlement Agreement had adopted a different rate design, for example utilizing only an SFV rate.  TURN is willing to admit that the Comprehensive Settlement Agreement could be made much worse.  However, it is certainly no “benefit” to say that the CSA provides flexibility when, compared to the Post-Interim Settlement Agreement, it actually reduces the core’s flexibility.  Under the Post-Interim Settlement Agreement the core can nominate however much capacity it needs on a daily basis and pay volumetric rates, instead of being bound by either SFV or MFV rates.</w:t>
      </w:r>
    </w:p>
    <w:p>
      <w:pPr>
        <w:pStyle w:val="Heading3"/>
        <w:ind w:hanging="0" w:start="0"/>
        <w:rPr/>
      </w:pPr>
      <w:r>
        <w:rPr/>
        <w:t xml:space="preserve">ORA Underestimates The Costs Of Purchasing Additional Transmission Capacity </w:t>
      </w:r>
    </w:p>
    <w:p>
      <w:pPr>
        <w:pStyle w:val="Normal"/>
        <w:spacing w:lineRule="auto" w:line="240"/>
        <w:ind w:firstLine="720" w:end="0"/>
        <w:rPr/>
      </w:pPr>
      <w:r>
        <w:rPr/>
      </w:r>
    </w:p>
    <w:p>
      <w:pPr>
        <w:pStyle w:val="Normal"/>
        <w:ind w:firstLine="720" w:end="0"/>
        <w:rPr/>
      </w:pPr>
      <w:r>
        <w:rPr/>
        <w:t xml:space="preserve">The ORA dismisses entirely the rebuttal testimony of Catherine Yap, which analyzed the adverse impact of a backbone capacity reservation of 1000 MMcf/d on the core’s costs of meeting its flowing supply requirements during periods of high use. (Exh. 102, pp. 25-28.)  ORA raises three arguments. (ORA at 24-26.)  First, the ORA claims that Ms. Yap’s analysis should be entirely disregarded for the simple reason that it did not account for the 10% CTA market share which was </w:t>
      </w:r>
      <w:r>
        <w:rPr>
          <w:u w:val="single"/>
        </w:rPr>
        <w:t>assumed</w:t>
      </w:r>
      <w:r>
        <w:rPr/>
        <w:t xml:space="preserve"> in developing the Comprehensive Settlement Agreement allocation of backbone capacity.  Second, the ORA claims that core nominations above 1000 MMcf/d in 1999 “may have been based on economics rather than need.”  And third, the ORA claims that even purchases for incremental demand above 1000 MMcf/d would not increase rates.  The record evidence, however, does not support ORA’s conclusions. </w:t>
      </w:r>
    </w:p>
    <w:p>
      <w:pPr>
        <w:pStyle w:val="Normal"/>
        <w:ind w:firstLine="720" w:end="0"/>
        <w:rPr/>
      </w:pPr>
      <w:r>
        <w:rPr/>
        <w:t>The Commission should carefully consider this issue, because Ms. Yap’s analysis was one of the few examples of hard factual data presented in this proceeding. (Exh. 102, pp. 25-28; Exh. 109.)  Ms. Yap analyzed the core’s receipt and send-out data for 1999 and found that the core nominated over 1000 MMcf/d in flowing gas supplies for nearly 130 days.  In its opening brief, TURN used these data and a conservative assumption of purchasing additional backbone capacity at interruptible rates (which would likely be less expensive than firm capacity) to calculate an additional minimum annual cost of $1.6 million for transmission capacity. (TURN at 33-34.)</w:t>
      </w:r>
    </w:p>
    <w:p>
      <w:pPr>
        <w:pStyle w:val="Normal"/>
        <w:ind w:firstLine="720" w:end="0"/>
        <w:rPr/>
      </w:pPr>
      <w:r>
        <w:rPr/>
        <w:t>The ORA’s three arguments do not rebut Ms. Yap’s analysis or conclusions.  First, it is true that the Comprehensive Settlement Agreement assumed a 10% CTA penetration in setting the 1000 MMcf/d reservation.  So what?  In 1999 the CTA penetration was approximately 5%.  Even if the assumption of 10% penetration turns out to be true, it means that the 1999 data slightly overestimate core procurement needs by 5% (the difference between 10% and 5%).  While such an error would reduce the number of days in Ms. Yap’s calculations, it does not at all make the calculation an “apples to oranges” comparison, as the ORA claims.</w:t>
      </w:r>
      <w:r>
        <w:rPr>
          <w:rStyle w:val="FootnoteCharacters"/>
          <w:rStyle w:val="FootnoteReference"/>
        </w:rPr>
        <w:footnoteReference w:id="4"/>
      </w:r>
      <w:r>
        <w:rPr/>
        <w:t xml:space="preserve">  It simply means that rather than needing over 1000 MMcf/d of transmission capacity on 130 days, the retail core might need it only on maybe 120 days.</w:t>
      </w:r>
    </w:p>
    <w:p>
      <w:pPr>
        <w:pStyle w:val="BodyTextIndent"/>
        <w:rPr/>
      </w:pPr>
      <w:r>
        <w:rPr/>
        <w:t xml:space="preserve">ORA’s second and third arguments are linked.  ORA asserts that the core may have used flowing supplies for price arbitrage rather than demand and that “the potential for using more than 1000 MMcf/d for demand purposes is minimal given that this figure is already based on a cold year requirement.” (ORA at 26.)  No record evidence exists regarding actual daily demand usage by the retail core.  The average cold year demand was projected at 1022 in the most recent BCAP.  Peak day demand will by definition exceed this amount, even during an average year, although it is difficult to predict for how many days. </w:t>
      </w:r>
    </w:p>
    <w:p>
      <w:pPr>
        <w:pStyle w:val="Normal"/>
        <w:ind w:firstLine="720" w:end="0"/>
        <w:rPr/>
      </w:pPr>
      <w:r>
        <w:rPr/>
        <w:t xml:space="preserve">Most importantly, the bottom line is that ORA’s argument regarding incremental demand is immaterial, for actual daily demand is not highly relevant in determining daily purchasing behavior for a customer such as the Gas Acquisition Department, which is a low load factor customer with extremely large peak demand at predictable (cold weather) periods and large storage assets.  </w:t>
      </w:r>
      <w:r>
        <w:rPr>
          <w:u w:val="single"/>
        </w:rPr>
        <w:t>The timing of purchasing decisions is largely based on economics</w:t>
      </w:r>
      <w:r>
        <w:rPr/>
        <w:t>.  This is precisely the reason why Gas Acquisition obtains value from using flowing supplies to inject into storage during times of lower prices.  Witness Yap showed how limiting the core’s injection capacity would subject it to higher gas prices by limiting its ability to purchase high volumes at low cost. (TURN opening brief at pp. 50-51.)  In the same way, the core would either need to buy additional transportation capacity or incur higher gas costs if it could flow only 1000 MMcf/d on any given day.</w:t>
      </w:r>
    </w:p>
    <w:p>
      <w:pPr>
        <w:pStyle w:val="Normal"/>
        <w:ind w:firstLine="720" w:end="0"/>
        <w:rPr/>
      </w:pPr>
      <w:r>
        <w:rPr/>
        <w:t>ORA concludes its arguments by asserting that the combination of storage and transmission capacity will satisfy core requirements, and that core procurement costs will be minimized by city-gate gas purchases or interruptible transportation purchases.  As TURN explained in its opening brief, purchases of interruptible transportation will increase costs by at least $1.6 million annually.  Moreover, it may not be prudent for the core to rely on interruptible assets during peak usage periods.  Purchasing at the city-gate exposes the core to market rates during peak periods.</w:t>
      </w:r>
    </w:p>
    <w:p>
      <w:pPr>
        <w:pStyle w:val="Normal"/>
        <w:ind w:firstLine="720" w:end="0"/>
        <w:rPr/>
      </w:pPr>
      <w:r>
        <w:rPr/>
        <w:t>The ORA dismisses the potential for increased costs due to control of capacity by marketers, who will be able to charge unregulated prices and could exercise market power by obtaining 40% of the capacity in the open season, or an unlimited percentage of available capacity in the secondary market.  ORA contends that city-gate prices have been beneficial on the PG&amp;E system. (ORA at 18.)  TURN already addressed this issue in its opening brief at pages 28-29 and 35-36.</w:t>
      </w:r>
      <w:r>
        <w:rPr>
          <w:rStyle w:val="FootnoteCharacters"/>
          <w:rStyle w:val="FootnoteReference"/>
        </w:rPr>
        <w:footnoteReference w:id="5"/>
      </w:r>
      <w:r>
        <w:rPr/>
        <w:t xml:space="preserve">  The data regarding PG&amp;E city-gate prices show that the average one-year city-gate price was lower due to a price differential from December 1999 through March 2000.  Long-term conclusions from these data are speculative at best.</w:t>
      </w:r>
    </w:p>
    <w:p>
      <w:pPr>
        <w:pStyle w:val="Normal"/>
        <w:ind w:firstLine="720" w:end="0"/>
        <w:rPr/>
      </w:pPr>
      <w:r>
        <w:rPr/>
        <w:t>Furthermore, the ORA notes that the opportunities resulting from unbundling carry an element of risk, and cites to the Commission’s decision regarding interstate capacity unbundling for a methodology for assessing this risk.  The Commission’s observations are well worth repeating:</w:t>
      </w:r>
    </w:p>
    <w:p>
      <w:pPr>
        <w:pStyle w:val="Normal"/>
        <w:spacing w:lineRule="auto" w:line="240"/>
        <w:ind w:start="720" w:end="0"/>
        <w:rPr/>
      </w:pPr>
      <w:r>
        <w:rPr/>
        <w:t>Like any new venture, the program we adopt today presents some risk. In the next few years we will be attentive to whether the program is fulfilling the Commission goals.  Indications that the program is not working would include concentrated holdings of interstate capacity, high levels of stranded costs, frequent curtailments, relatively high gas prices, and high percentages of customers who opt for core subscription services.  If we observe these signs of trouble, we will not hesitate to reconsider the rules adopted today. (D.91-11-025) 41 CPUC2d 668, 703.</w:t>
      </w:r>
    </w:p>
    <w:p>
      <w:pPr>
        <w:pStyle w:val="Normal"/>
        <w:ind w:firstLine="720" w:end="0"/>
        <w:rPr/>
      </w:pPr>
      <w:r>
        <w:rPr/>
      </w:r>
    </w:p>
    <w:p>
      <w:pPr>
        <w:pStyle w:val="Normal"/>
        <w:ind w:firstLine="720" w:end="0"/>
        <w:rPr/>
      </w:pPr>
      <w:r>
        <w:rPr/>
        <w:t>The ORA concludes that the Commission could “revisit the unbundling issue” if similar signs of trouble arise from intrastate capacity unbundling.  ORA further claims that the Gas Accord experience “should give the Commission some assurance that these fears are unlikely to materialize.”  Such a conclusion appears premature.</w:t>
      </w:r>
      <w:r>
        <w:rPr>
          <w:rStyle w:val="FootnoteCharacters"/>
          <w:rStyle w:val="FootnoteReference"/>
        </w:rPr>
        <w:footnoteReference w:id="6"/>
      </w:r>
      <w:r>
        <w:rPr/>
        <w:t xml:space="preserve">  Using some of those same criteria identified by the Commission for assessing the risk of unbundling interstate transmission (i.e. market concentration, stranded costs, curtailments, gas prices) to assess the effects of intrastate transmission unbundling on the PG&amp;E system gives a mixed picture.</w:t>
      </w:r>
      <w:r>
        <w:rPr>
          <w:rStyle w:val="FootnoteCharacters"/>
          <w:rStyle w:val="FootnoteReference"/>
        </w:rPr>
        <w:footnoteReference w:id="7"/>
      </w:r>
      <w:r>
        <w:rPr/>
        <w:t xml:space="preserve">  Dr. Weil showed that 26 marketers control 75% of the Redwood Path capacity not reserved for the core, while 32 noncore end users hold 22% of the capacity. (Exh. 101, p. 12.)</w:t>
      </w:r>
      <w:r>
        <w:rPr>
          <w:rStyle w:val="FootnoteCharacters"/>
          <w:rStyle w:val="FootnoteReference"/>
        </w:rPr>
        <w:footnoteReference w:id="8"/>
      </w:r>
      <w:r>
        <w:rPr/>
        <w:t xml:space="preserve">  There have not been high levels of stranded costs on the PG&amp;E system, but PG&amp;E does not face the same potential of bypass from interstate pipelines as is present on the SoCalGas system.  The problem of frequent OFOs (analogous to curtailments) was the major issue occupying the parties in R.98-01-011 and led to the changes adopted in D.00-02-050.  Whether those changes will resolve the problem remains to be seen.  The evidence regarding city-gate prices is mixed and certainly does not provide any indication of long-term price benefits.</w:t>
      </w:r>
    </w:p>
    <w:p>
      <w:pPr>
        <w:pStyle w:val="Normal"/>
        <w:ind w:firstLine="720" w:end="0"/>
        <w:rPr/>
      </w:pPr>
      <w:r>
        <w:rPr/>
        <w:t>These data indicate that the jury is certainly out on whether the intrastate unbundling provisions of the PG&amp;E Gas Accord have benefited customers.  Since this is an issue most relevant for noncore customers, TURN urges the Commission to consider the arguments raised by SCGC regarding the potential negative consequences for electric generator customers of unbundling intrastate transmission in the manner proposed by the CSA.</w:t>
      </w:r>
    </w:p>
    <w:p>
      <w:pPr>
        <w:pStyle w:val="Heading2"/>
        <w:ind w:hanging="0" w:start="0"/>
        <w:rPr/>
      </w:pPr>
      <w:r>
        <w:rPr/>
        <w:t>Storage</w:t>
      </w:r>
    </w:p>
    <w:p>
      <w:pPr>
        <w:pStyle w:val="Normal"/>
        <w:spacing w:lineRule="auto" w:line="240"/>
        <w:ind w:start="720" w:end="0"/>
        <w:rPr/>
      </w:pPr>
      <w:r>
        <w:rPr/>
      </w:r>
    </w:p>
    <w:p>
      <w:pPr>
        <w:pStyle w:val="Normal"/>
        <w:ind w:firstLine="720" w:end="0"/>
        <w:rPr/>
      </w:pPr>
      <w:r>
        <w:rPr/>
        <w:t>ORA claims that core customers will gain “significant” benefits from the storage provisions of the Comprehensive Settlement Agreement due to 1) the reduction in reserved storage inventory, 2) the assumption of 100% risk for unbundled storage by SoCalGas, which translates into an annual savings of approximately $1.8 million, and 3) increased competitive opportunities in the core procurement market. (ORA at 31.)</w:t>
      </w:r>
    </w:p>
    <w:p>
      <w:pPr>
        <w:pStyle w:val="Normal"/>
        <w:rPr/>
      </w:pPr>
      <w:r>
        <w:rPr/>
        <w:tab/>
        <w:t>First, the only quantifiable benefit – the savings due to placing SoCalGas at risk for unbundled storage – results equally from both the Comprehensive Settlement Agreement and the Post-Interim Settlement Agreement.  Both agreements place SoCalGas 100% at risk for unbundled storage, although the Post-Interim Settlement Agreement accomplishes this change a few months earlier in 2003.  Moreover, the Post-Interim Settlement Agreement maintains at least a nominal price cap equal to the ceiling reservation in the Schedule G-TBS tariff.  The Comprehensive Settlement Agreement gives SoCalGas unlimited pricing flexibility for storage products, leaving open the possibility that any gains would be wiped out by storage costs necessary to meet stricter requirements of separate core/noncore balancing.</w:t>
      </w:r>
    </w:p>
    <w:p>
      <w:pPr>
        <w:pStyle w:val="Normal"/>
        <w:rPr/>
      </w:pPr>
      <w:r>
        <w:rPr/>
        <w:tab/>
        <w:t>The alleged benefit from paying for less storage inventory (valued at approximately $3.2 million) is rather illusory.  First of all, as discussed previously, this benefit vanishes when storage and transmission unbundling is manipulated to achieve no net change from the current BCAP allocation.  But secondly, Mr. Lorenz’ assertion that the value of this capacity was not equal to the cost is unsupported by any data.  While TURN accepts that 70 Bcf of storage is not required for core reliability, SoCalGas testified in R.98-01-011 that the core makes good use of this inventory for price arbitrage. (SoCalGas/SDG&amp;E Opening Brief on Market Conditions Issues (2/26/99), p.74).  Judging by the result of the recent GCIM (also discussed above), there is just as good reason to believe that the value of the extra inventory may exceed the $3 million cost.  It is impossible to reach a conclusion on this issue given the record evidence.</w:t>
      </w:r>
    </w:p>
    <w:p>
      <w:pPr>
        <w:pStyle w:val="Normal"/>
        <w:rPr/>
      </w:pPr>
      <w:r>
        <w:rPr/>
        <w:tab/>
        <w:t>ORA summarizes the arguments regarding use of storage versus flowing supplies for core customers. (ORA at 35-36.)  ORA concludes that the core could purchase transportation on an as-needed basis and could purchase additional storage through the annual open season or the secondary market.  Once again, it is impossible to conclusively predict the exact cost of these alternatives versus paying approximately $3 million for the 15 Bcf of additional storage inventory. The only certain conclusion is that in the open season the same amount of storage inventory would cost over three times as much, or about $10 million, at the Comprehensive Settlement Agreement storage package rates.</w:t>
      </w:r>
      <w:r>
        <w:rPr>
          <w:rStyle w:val="FootnoteCharacters"/>
          <w:rStyle w:val="FootnoteReference"/>
        </w:rPr>
        <w:footnoteReference w:id="9"/>
      </w:r>
    </w:p>
    <w:p>
      <w:pPr>
        <w:pStyle w:val="Normal"/>
        <w:rPr>
          <w:b/>
        </w:rPr>
      </w:pPr>
      <w:r>
        <w:rPr/>
        <w:tab/>
        <w:t xml:space="preserve">Lastly, the ORA claim of benefit due to cost separation applies only to those “core customers participating in the core transportation program” and provides no benefit to the retail core. (ORA at 32.)  How much of this benefit will really reach customers versus becoming marketer profits is totally unknown.  The claim of competitive benefits is one of the issues that separates parties based more on philosophy than evidence.  However, even the marketers admit that the likely benefit to core transport customers will be expanded choices for value-added services, rather than lower prices for replacing the tariffed utility services. </w:t>
      </w:r>
    </w:p>
    <w:p>
      <w:pPr>
        <w:pStyle w:val="Heading2"/>
        <w:ind w:hanging="0" w:start="0"/>
        <w:rPr/>
      </w:pPr>
      <w:r>
        <w:rPr/>
        <w:t>balancing</w:t>
      </w:r>
    </w:p>
    <w:p>
      <w:pPr>
        <w:pStyle w:val="Header"/>
        <w:tabs>
          <w:tab w:val="clear" w:pos="4320"/>
          <w:tab w:val="clear" w:pos="8640"/>
        </w:tabs>
        <w:spacing w:lineRule="auto" w:line="240"/>
        <w:rPr/>
      </w:pPr>
      <w:r>
        <w:rPr/>
      </w:r>
    </w:p>
    <w:p>
      <w:pPr>
        <w:pStyle w:val="Normal"/>
        <w:ind w:firstLine="720" w:end="0"/>
        <w:rPr/>
      </w:pPr>
      <w:r>
        <w:rPr/>
        <w:t>The proponents of the Post-Interim Settlement Agreement described the harmful effects of separate core and noncore balancing upon each customer class.  ORA’s response to this analysis totally misses the point.  ORA alleges that the core will need less injection capacity “due to the reduction in the firm inventory level under the Comprehensive Settlement Agreement.” (ORA at 48.) In other words, the ORA argues that since inventory storage will be reduced from 70 to 55 Bcf the core will need less injection to fill its storage in time for the winter and will not lose any injection flexibility. (ORA at 46-47.)</w:t>
      </w:r>
    </w:p>
    <w:p>
      <w:pPr>
        <w:pStyle w:val="Normal"/>
        <w:ind w:firstLine="720" w:end="0"/>
        <w:rPr/>
      </w:pPr>
      <w:r>
        <w:rPr/>
        <w:t xml:space="preserve">ORA seems to misunderstand Ms. Yap’s analysis regarding storage injection for balancing purposes.  (Exh. 101, pp. 29-30.)  The whole point of the analysis was that each customer class – core and noncore – at times greatly exceeds its particular injection reservation.  It is quite possible that core exceeds its injection capacity also for economic reasons, in order to inject low cost gas into storage. </w:t>
      </w:r>
      <w:r>
        <w:rPr>
          <w:b/>
        </w:rPr>
        <w:t xml:space="preserve"> </w:t>
      </w:r>
      <w:r>
        <w:rPr/>
        <w:t>However, taken as a whole, the system remains balanced.  The Post-Interim Settlement Agreement would allow such system-wide balancing to continue, but would subject the core to the same OFO standards and penalties as the noncore, thus ensuring that each customer class will balance its delivery and consumption when critical for actual system needs, not just for arbitrary purpose of separating balancing costs.</w:t>
      </w:r>
    </w:p>
    <w:p>
      <w:pPr>
        <w:pStyle w:val="Heading2"/>
        <w:ind w:hanging="0" w:start="0"/>
        <w:rPr/>
      </w:pPr>
      <w:r>
        <w:rPr/>
        <w:t>Interstate capacity unbundling</w:t>
      </w:r>
    </w:p>
    <w:p>
      <w:pPr>
        <w:pStyle w:val="Header"/>
        <w:tabs>
          <w:tab w:val="clear" w:pos="4320"/>
          <w:tab w:val="clear" w:pos="8640"/>
        </w:tabs>
        <w:spacing w:lineRule="auto" w:line="240"/>
        <w:rPr/>
      </w:pPr>
      <w:r>
        <w:rPr/>
      </w:r>
    </w:p>
    <w:p>
      <w:pPr>
        <w:pStyle w:val="Normal"/>
        <w:rPr/>
      </w:pPr>
      <w:r>
        <w:rPr/>
        <w:tab/>
        <w:t>The Comprehensive Settlement Agreement allocates the first 7% of stranded costs within the core class on an equal cents per therm basis, and allocates stranded costs above 7% between core residential and core commercial customers in proportion to CTA market share, presumably on an equal cents per therm basis within these two segments of the core.  ORA argues that such an allocation is equitable in light of Commission policy and proposed decisions issued in the terminated proceeding in Application A.97-12-048.  ORA’s policy arguments rely on inappropriate analogies which ignore the unique circumstances surrounding SoCalGas’ interstate capacity holdings.  ORA’s analysis is also factually misleading.</w:t>
      </w:r>
    </w:p>
    <w:p>
      <w:pPr>
        <w:pStyle w:val="Normal"/>
        <w:rPr/>
      </w:pPr>
      <w:r>
        <w:rPr/>
        <w:tab/>
        <w:t xml:space="preserve">ORA analogizes to Commission policy regarding allocation of stranded costs from interstate capacity unbundling for PG&amp;E and SDG&amp;E.  But ORA acknowledges that the stranded costs on the PG&amp;E and SDG&amp;E systems are “at levels that are smaller than those likely for SoCalGas.” (ORA at 39.)  This is an understatement at best.  SoCalGas still holds 1044 MMcf/d of interstate capacity reserved for the core, and the potential stranded cost from an unbundling of costs for 10% of core throughput is approximately $12.5 million. (Exh. 102, p. 41.)  The corresponding stranded cost liability on PG&amp;E and SDG&amp;E is basically trivial by comparison. </w:t>
      </w:r>
    </w:p>
    <w:p>
      <w:pPr>
        <w:pStyle w:val="Normal"/>
        <w:rPr/>
      </w:pPr>
      <w:r>
        <w:rPr/>
        <w:tab/>
        <w:t>In short, allocation of stranded costs on PG&amp;E and SDG&amp;E was never contentious because the cost liability was de minimis.  It was sensible from the regulatory perspective to allocate such costs on an equal cents per therm basis rather than worry about cost causation and more equitable allocation.  A much more relevant analogy for stranded cost allocation in this case is the allocation of stranded costs from unbundling interstate capacity for noncore customers on the SoCalGas system.  This unbundling has resulted in substantial stranded costs.  While the Commission in theory adopted an equal cents per therm allocation, the Commission capped the core contribution at 10% of the core’s cost of reserved capacity in recognition of who primarily benefited from the unbundling.  As a result, while core’s throughput was approximately 40%, the core paid less than 15% of the stranded costs.  The Post-Interim Settlement Agreement methodology of allocating costs 50/50 between core transport and core sales customers is much more in line with this type of approach, except that core sales customers pay 50%, rather than just 10%, of the stranded costs from unbundling capacity for the core transport customers.  The 50% thus represents a much greater subsidy for the CTA program!</w:t>
      </w:r>
    </w:p>
    <w:p>
      <w:pPr>
        <w:pStyle w:val="Normal"/>
        <w:rPr/>
      </w:pPr>
      <w:r>
        <w:rPr/>
        <w:tab/>
        <w:t xml:space="preserve">There is a potentially misleading description in the ORA discussion of the allocation methodology employed by the Comprehensive Settlement Agreement. The ORA states that the allocation of “the stranded costs above 7% within the core class according to CTA market share recognizes that the stranded cost liability is potentially much higher for SoCalGas than either PG&amp;E or SDG&amp;E and places a limit on the allocation of stranded costs to core customers not participating in the CTA program.” (ORA at 40.)  The allocation of costs between core residential and core commercial customers does </w:t>
      </w:r>
      <w:r>
        <w:rPr>
          <w:u w:val="single"/>
        </w:rPr>
        <w:t>not</w:t>
      </w:r>
      <w:r>
        <w:rPr/>
        <w:t xml:space="preserve"> limit the stranded costs borne by retail core customers.  It only limits the costs borne by residential customers, assuming their participation in the CTA program is more limited.  As detailed in TURN’s opening brief at pages 19-20, the Comprehensive Settlement Agreement allocates stranded costs such that the rate paid by each core class segment is the same whether the customer is a procurement or transport customer.  The net effect is that the core transport customers will contribute in total exactly in proportion to the CTA market share.</w:t>
      </w:r>
      <w:r>
        <w:rPr>
          <w:rStyle w:val="FootnoteCharacters"/>
          <w:rStyle w:val="FootnoteReference"/>
        </w:rPr>
        <w:footnoteReference w:id="10"/>
      </w:r>
    </w:p>
    <w:p>
      <w:pPr>
        <w:pStyle w:val="Normal"/>
        <w:rPr/>
      </w:pPr>
      <w:r>
        <w:rPr/>
        <w:tab/>
        <w:t>ORA’s second argument for why the Comprehensive Settlement Agreement allocation is equitable is that it is better than the proposed decisions in A.97-12-048.  First of all, TURN notes that two proposed decisions in a proceeding terminated by the Commission before adoption of any decision have no precedential value, especially since ORA does not purport to rely on the logic or policy arguments in either decision.  Indeed, it would be ironic if ORA made any such policy argument, since it labeled the allocation of the proposed decision in A.97-12-048 as “fatally flawed, unjust and unreasonable”, and of the proposed alternate decision as “arbitrary and not based on any facts of record.”</w:t>
      </w:r>
      <w:r>
        <w:rPr>
          <w:rStyle w:val="FootnoteCharacters"/>
          <w:rStyle w:val="FootnoteReference"/>
        </w:rPr>
        <w:footnoteReference w:id="11"/>
      </w:r>
    </w:p>
    <w:p>
      <w:pPr>
        <w:pStyle w:val="Normal"/>
        <w:ind w:firstLine="720" w:end="0"/>
        <w:rPr/>
      </w:pPr>
      <w:r>
        <w:rPr/>
        <w:t>In referring back to A.97-12-048 ORA is itself now comparing apples and oranges.  The proposed decision of ALJ Malcolm would have allocated the stranded costs to all customers, including noncore, on an equal cents per therm basis.  This is more favorable than the Comprehensive Settlement Agreement proposal.  The proposed alternate decision of Commissioner Knight would have allocated stranded costs on an equal cents per therm basis only to core customers, similarly to the Comprehensive Settlement Agreement proposal.  ORA notes that both proposed decisions did not eliminate the core ITCS contribution, in contrast to the Comprehensive Settlement Agreement.  This is absolutely true.  It is the reason why ORA opposed the ALJ proposed decision in A.97-12-048.  It leads TURN to conclude that there is very little use in comparing the negotiated outcome of either the Comprehensive Settlement Agreement or the Post-Interim Settlement Agreement to the two proposed decisions in a proceeding which reflected a completely different setting and was attempting to resolve only the issue of unbundling core interstate capacity.</w:t>
      </w:r>
    </w:p>
    <w:p>
      <w:pPr>
        <w:pStyle w:val="Normal"/>
        <w:rPr/>
      </w:pPr>
      <w:r>
        <w:rPr/>
        <w:tab/>
        <w:t>The main effect of the stranded cost allocation proposed by the Comprehensive Settlement Agreement is to hurt residential customers who receive utility procurement service.  As explained by SoCalGas witness Nelson, the net benefit to the retail core from the Comprehensive Settlement Agreement, accounting for the elimination of the ITCS and the allocation of core stranded capacity costs, declines from $5.2 million at current levels of CAT penetration to $2.7 million at 10% CAT penetration. (RT 9/1148)  This decrease occurs because more of the stranded costs resulting from participation in the CTA program are allocated to retail core customers.  Thus, while the Comprehensive Settlement Agreement actively promotes growth of the core aggregation program, it does so explicitly at the expense of the retail residential customer.</w:t>
      </w:r>
    </w:p>
    <w:p>
      <w:pPr>
        <w:pStyle w:val="Normal"/>
        <w:rPr/>
      </w:pPr>
      <w:r>
        <w:rPr/>
        <w:tab/>
        <w:t>The “Core Aggregators” raise two additional points regarding interstate capacity unbundling and stranded costs.  The aggregators claim that allocating stranded costs on an equal cents per therm basis is consistent with the existing allocation of stranded costs within the noncore customer class, such that even core subscription customers pay ITCS costs. (Core Aggregators at 25.)  The small noncore customers who participate in the core subscription program are generally not represented at the Commission.  As a result, certain policies are definitely unfair to those customers.  But just because some customers have gotten short shrift in historical allocation decisions does not, in TURN’s mind, justify doing the same to retail core customers here.</w:t>
      </w:r>
    </w:p>
    <w:p>
      <w:pPr>
        <w:pStyle w:val="Normal"/>
        <w:rPr/>
      </w:pPr>
      <w:r>
        <w:rPr/>
        <w:tab/>
        <w:t>The Core Aggregators also claim that “contrary to Mr. Florio’s claim … the stranded cost approach agreed upon in the Comprehensive Settlement is very similar to the electric industry stranded cost approach.” (Core Aggregators at 27.) The core aggregators support this statement by stating that all customers will receive a rate reduction and that all customers within the core customer class will pay equal amounts of stranded costs.  Simply put, the core aggregators’ arguments are totally irrelevant to the issue at hand.  Mr. Florio testified as follows:</w:t>
      </w:r>
    </w:p>
    <w:p>
      <w:pPr>
        <w:pStyle w:val="Normal"/>
        <w:spacing w:lineRule="auto" w:line="240"/>
        <w:ind w:start="720" w:end="0"/>
        <w:rPr/>
      </w:pPr>
      <w:r>
        <w:rPr/>
        <w:t xml:space="preserve">On the electric side, customers who leave bundled UDC service to take direct access do not receive any stranded cost subsidy from bundled service customers.  Stranded costs are unbundled from the rates of </w:t>
      </w:r>
      <w:r>
        <w:rPr>
          <w:u w:val="single"/>
        </w:rPr>
        <w:t>all</w:t>
      </w:r>
      <w:r>
        <w:rPr/>
        <w:t xml:space="preserve"> customers and then allocated on an equal basis to both bundled service and direct access users.  Thus, an electric customer cannot avoid any stranded cost liability by electing direct access.  In contrast, both settlements in this case leave the costs of stranded interstate capacity bundled in the rates paid by utility procurement customers, so that any allocation of the costs stranded by CAT customers back to the bundled core represents a cost shift. (Exh. 102, p. 42.) </w:t>
      </w:r>
    </w:p>
    <w:p>
      <w:pPr>
        <w:pStyle w:val="Normal"/>
        <w:rPr/>
      </w:pPr>
      <w:r>
        <w:rPr/>
      </w:r>
    </w:p>
    <w:p>
      <w:pPr>
        <w:pStyle w:val="Normal"/>
        <w:rPr/>
      </w:pPr>
      <w:r>
        <w:rPr/>
        <w:t>The two arguments made by the core aggregators have nothing to do with the essential point that the Comprehensive Settlement Agreement unbundles interstate capacity costs only for the core transport customers (not for all customers) but then proposes to charge all customers, including the retail core customers, the same rate for the resulting stranded costs. This is totally in contrast to the treatment under electric restructuring, as explained by Mr. Florio.</w:t>
      </w:r>
    </w:p>
    <w:p>
      <w:pPr>
        <w:pStyle w:val="Heading2"/>
        <w:ind w:hanging="0" w:start="0"/>
        <w:rPr/>
      </w:pPr>
      <w:r>
        <w:rPr/>
        <w:t>Retail Sections</w:t>
      </w:r>
    </w:p>
    <w:p>
      <w:pPr>
        <w:pStyle w:val="Header"/>
        <w:tabs>
          <w:tab w:val="clear" w:pos="4320"/>
          <w:tab w:val="clear" w:pos="8640"/>
        </w:tabs>
        <w:spacing w:lineRule="auto" w:line="240"/>
        <w:rPr/>
      </w:pPr>
      <w:r>
        <w:rPr/>
      </w:r>
    </w:p>
    <w:p>
      <w:pPr>
        <w:pStyle w:val="Normal"/>
        <w:rPr/>
      </w:pPr>
      <w:r>
        <w:rPr/>
        <w:tab/>
        <w:t xml:space="preserve">Both ORA and SoCalGas indicate that their proposed changes are responsive to Commission direction and that the Post-Interim Settlement Agreement does not address retail changes at all.  TURN already explained in its opening brief that the signatories to the Post-Interim Settlement Agreement left the retail issues unresolved, and that several of those issues could be easily resolved in a later phase of this proceeding, after adoption of the Post-Interim Settlement Agreement.  </w:t>
      </w:r>
    </w:p>
    <w:p>
      <w:pPr>
        <w:pStyle w:val="Normal"/>
        <w:rPr/>
      </w:pPr>
      <w:r>
        <w:rPr/>
        <w:tab/>
        <w:t>The ORA generally describes the bases for, and elements of, the retail changes in the Comprehensive Settlement Agreement.  TURN does not find any material errors in this description.  However, while elimination of the core subscription service was a “promising option,” neither ORA nor SoCalGas provides any justification or explanation for why implementing this change will provide any benefits or enhance competition.  It is ironic that the signatories to the Comprehensive Settlement Agreement applaud increased customer choice as a major goal of their settlement, but proceed to eliminate one major choice for noncore customers.</w:t>
      </w:r>
    </w:p>
    <w:p>
      <w:pPr>
        <w:pStyle w:val="Normal"/>
        <w:rPr/>
      </w:pPr>
      <w:r>
        <w:rPr/>
        <w:tab/>
        <w:t>Indeed, it is possible that the core subscription program offers more customer value than the entire CTA program, whose promotion occupies the bulk of the retail sections.  While TURN does not purport to represent the interests of noncore customers, TURN is struck by the statistics offered by SoCalGas – that 138 noncore customers, representing less than 1% of total noncore load, participate in the core subscription program.  Both ORA and SoCalGas cite this figure for the proposition that the core subscription program is not heavily subscribed.  This is a misleading reading of the numbers.  Those 138 customers represent almost 12% of the commercial and industrial noncore customers (the G-30 customer class).  (D.00-04-060, Appendix D, Table 12.)  Only the G-30 noncore customers are likely to participate in the noncore subscription program. These customers account for less than 30% of the noncore load! (</w:t>
      </w:r>
      <w:r>
        <w:rPr>
          <w:i/>
        </w:rPr>
        <w:t>Id</w:t>
      </w:r>
      <w:r>
        <w:rPr/>
        <w:t>.)  Thus, comparing the core subscription throughput to the entire noncore load is misleading.  What the data suggest is that core subscription has been the fallback for a substantial number of the very small commercial/industrial noncore customers who have not chosen to pay the transaction costs associated with alternative service providers.  No basis has been shown for denying these customers the option of choosing core subscription service.</w:t>
      </w:r>
    </w:p>
    <w:p>
      <w:pPr>
        <w:pStyle w:val="Normal"/>
        <w:rPr/>
      </w:pPr>
      <w:r>
        <w:rPr/>
        <w:tab/>
        <w:t>The opening brief of the SoCalGas does, additionally, contain a few statements which are factually misleading.  At the outset, SoCalGas claims that the retail section will decrease the net annual cost for all core customers by approximately $7.2 million. (SoCalGas at 90.)  As TURN emphasized in its opening brief at pages 8-11, this financial benefit accrues almost exclusively from the elimination of the core ITCS contribution, an element common to both the Comprehensive Settlement Agreement and the Post-Interim Settlement Agreement.  Nowhere in the entire “Retail Section” of their opening brief does SoCalGas appear to even mention the ITCS provision!  What the SoCalGas brief does do is highlight the fact that the Comprehensive Settlement Agreement’s allocation of stranded costs resulting from core interstate capacity unbundling harms those customers receiving utility procurement service, as already discussed above.</w:t>
      </w:r>
    </w:p>
    <w:p>
      <w:pPr>
        <w:pStyle w:val="Normal"/>
        <w:rPr/>
      </w:pPr>
      <w:r>
        <w:rPr/>
        <w:tab/>
        <w:t>Several parties repeat the conclusory assertions that the Comprehensive Settlement Agreement will stimulate competition and thus provide more product options and lower prices. (e.g. SoCalGas at 115-116, Core Aggregators at 14.) Such claims are based largely on blind faith in market economics without substantiation by data relevant to this particular market.  While greater product offerings may be positive for some customers, experience in the telephone market suggests that other customers may be harmed by paying for unwanted services.  The claims of financial benefits are either unsubstantiated or are based on comparisons to other states that have no evidentiary foundation. (e.g. Exh. 26, RT 1227-1228.)</w:t>
      </w:r>
    </w:p>
    <w:p>
      <w:pPr>
        <w:pStyle w:val="Heading1"/>
        <w:ind w:hanging="0" w:start="0"/>
        <w:rPr/>
      </w:pPr>
      <w:r>
        <w:rPr/>
        <w:t>Benefits of The Post-Interim Settlement Agreement</w:t>
      </w:r>
    </w:p>
    <w:p>
      <w:pPr>
        <w:pStyle w:val="Header"/>
        <w:tabs>
          <w:tab w:val="clear" w:pos="4320"/>
          <w:tab w:val="clear" w:pos="8640"/>
        </w:tabs>
        <w:spacing w:lineRule="auto" w:line="240"/>
        <w:rPr/>
      </w:pPr>
      <w:r>
        <w:rPr/>
      </w:r>
    </w:p>
    <w:p>
      <w:pPr>
        <w:pStyle w:val="Normal"/>
        <w:rPr/>
      </w:pPr>
      <w:r>
        <w:rPr/>
        <w:tab/>
        <w:t>ORA alleges that the Post-Interim Settlement Agreement rejects the goal of enhancing competition because it does not fully unbundle transmission, storage or balancing services. (ORA at 63.)  TURN suggests that SCGC described the competing goals of the two settlements more accurately when it portrayed the purpose of the Post-Interim Settlement Agreement to be the promotion of competition that benefits consumers, and the purpose of the Comprehensive Settlement Agreement to be the promotion of competitors’ interests at the expense of customer interests.  (SCGC at 2-4.)  While it is certainly true that there are fundamental differences between the two settlements, it is also true that the Post-Interim Settlement Agreement advances many of the promising options identified by the Commission.</w:t>
      </w:r>
    </w:p>
    <w:p>
      <w:pPr>
        <w:pStyle w:val="Normal"/>
        <w:rPr/>
      </w:pPr>
      <w:r>
        <w:rPr/>
        <w:tab/>
        <w:t xml:space="preserve">Mr. Florio summarized the information from the Joint Comparison Exhibit (Exh. 300), which compares the positions of the three settlements on each promising option, in his rebuttal testimony (Exh. 102, pp. 5-10.)  Mr. Florio’s summary makes clear that the Post-Interim Settlement Agreement adopts some of the most important changes that will enhance customer choice and market liquidity for both core and noncore customers.  These changes include replacing the windowing process with a clear procedure for capacity allocation, enhancing imbalance trading, instituting pooling and placing SoCalGas at risk for unbundled storage assets.  SCGC provided an excellent summary of the benefits of the Post-Interim Settlement Agreement in its opening brief. (SCGC at 5-10.) </w:t>
      </w:r>
    </w:p>
    <w:p>
      <w:pPr>
        <w:pStyle w:val="Heading1"/>
        <w:numPr>
          <w:ilvl w:val="0"/>
          <w:numId w:val="0"/>
        </w:numPr>
        <w:spacing w:lineRule="auto" w:line="480" w:before="0" w:after="0"/>
        <w:ind w:hanging="0" w:start="0"/>
        <w:rPr>
          <w:b w:val="false"/>
          <w:caps w:val="false"/>
          <w:smallCaps w:val="false"/>
        </w:rPr>
      </w:pPr>
      <w:r>
        <w:rPr>
          <w:b w:val="false"/>
          <w:caps w:val="false"/>
          <w:smallCaps w:val="false"/>
        </w:rPr>
        <w:tab/>
        <w:t xml:space="preserve">SoCalGas, not surprisingly, complains mightily about Section 5.2 of the Post-Interim Settlement Agreement, which would remove the costs of the Montebello storage field from rates. (SoCal at 78-86).  SoCal does not deny that the field has not been used since before April 1997, but contends that ratepayers should continue to pay full O&amp;M expenses and a return on the asset nonetheless.  SoCal never mentions the particularly insidious ratemaking treatment of Montebello in the CSA.  Despite its professed allegiance to the unbundling of assets and services to the greatest degree conceivable, SoCal fails to point out that the costs of Montebello, unlike all other storage assets, are NOT unbundled by the CSA.  Rather, that agreement would retain these costs in bundled DISTRIBUTION rates, to be recovered through the equal percentage of marginal cost (EPMC) scaling factor.  Because all other storage costs, as well as transmission costs, are removed from the long-run marginal cost allocation process and priced on an embedded cost basis under the CSA, core customers would actually pay an even higher portion of Montebello costs pursuant to the CSA allocation—in excess of 90%!  SoCal has not even attempted to explain how such an outcome could be considered just and reasonable when core customers enjoy no use or benefit from the field.  </w:t>
      </w:r>
    </w:p>
    <w:p>
      <w:pPr>
        <w:pStyle w:val="Normal"/>
        <w:rPr/>
      </w:pPr>
      <w:r>
        <w:rPr/>
        <w:tab/>
        <w:t>SoCal also raises numerous objections to Section 4.2.1 of the Post-Interim Settlement, which provides for a 75/25 sharing of ITCS costs between ratepayers and the company after January 1, 2002. (SoCal at 65-77).  In particular, SoCal argues that Paragraph III.2 of the “Global Settlement,” which it quotes at the top of page 73, precludes the company from being assigned any risk for recovery of ITCS costs.  SoCal disputes that this section of Global Settlement expired on July 31, 1999, along with most of the other terms of that agreement.  But none of the citations offered by the company include any statement that this provision was intended to outlast the balance of the agreement.  Indeed, when the Global Settlement parties intended for a specific provision to survive beyond the five-year term of the agreement, they made that fact explicitly clear (See Paragraph II.7, 55 CPUC 2d 452, 458).  SoCal cannot cite any similar language with respect to the ITCS issue precisely because the parties never agreed that Paragraph III.2 would outlive the term of that agreement, They agreed only that the ITCS account itself would continue to exist, as noted in the language cited by SoCal on page 74.  SoCal’s attempt to take cover in the Global Settlement therefore fails.</w:t>
      </w:r>
    </w:p>
    <w:p>
      <w:pPr>
        <w:pStyle w:val="Normal"/>
        <w:rPr/>
      </w:pPr>
      <w:r>
        <w:rPr/>
        <w:tab/>
        <w:t xml:space="preserve">SoCal also cites to a series of U.S. Supreme Court cases (at 76-77) which it claims would preempt application of Section 4.2.1.  Again, SoCal is wrong.  The </w:t>
      </w:r>
      <w:r>
        <w:rPr>
          <w:u w:val="single"/>
        </w:rPr>
        <w:t>Nantahala</w:t>
      </w:r>
      <w:r>
        <w:rPr/>
        <w:t xml:space="preserve"> and </w:t>
      </w:r>
      <w:r>
        <w:rPr>
          <w:u w:val="single"/>
        </w:rPr>
        <w:t>Mississippi Power and Light</w:t>
      </w:r>
      <w:r>
        <w:rPr/>
        <w:t xml:space="preserve"> cases bar a state commission from disallowing federally-approved costs.  They do not speak to the issue of whether a utility can be placed partially at risk for its marketing activities.  Nor do those decisions mandate the creation of balancing accounts, such as the ITCS account.  Clearly this Commission could, consistent with </w:t>
      </w:r>
      <w:r>
        <w:rPr>
          <w:u w:val="single"/>
        </w:rPr>
        <w:t>Nantahala</w:t>
      </w:r>
      <w:r>
        <w:rPr/>
        <w:t xml:space="preserve">, adopt a forecast of brokering revenues that SoCal would achieve over a future period.  The ban on disallowance of federally-approved costs does not mandate any particular ratemaking treatment by the relevant state commission.  </w:t>
      </w:r>
    </w:p>
    <w:p>
      <w:pPr>
        <w:pStyle w:val="Heading1"/>
        <w:ind w:hanging="0" w:start="0"/>
        <w:rPr/>
      </w:pPr>
      <w:r>
        <w:rPr/>
        <w:t>CONCLUSION</w:t>
      </w:r>
    </w:p>
    <w:p>
      <w:pPr>
        <w:pStyle w:val="Normal"/>
        <w:spacing w:lineRule="auto" w:line="240"/>
        <w:rPr/>
      </w:pPr>
      <w:r>
        <w:rPr/>
      </w:r>
    </w:p>
    <w:p>
      <w:pPr>
        <w:pStyle w:val="BodyTextIndent"/>
        <w:rPr/>
      </w:pPr>
      <w:r>
        <w:rPr/>
        <w:t xml:space="preserve">This Commission must reject the Comprehensive Settlement Agreement and should adopt the far more customer-friendly provisions of the Post-Interim Settlement Agreement.  There is simply no evidence to support an assumption that the greater unbundling of costs and services proposed in the CSA will benefit the consumers of California.  </w:t>
      </w:r>
    </w:p>
    <w:p>
      <w:pPr>
        <w:pStyle w:val="Normal"/>
        <w:rPr/>
      </w:pPr>
      <w:r>
        <w:rPr/>
      </w:r>
    </w:p>
    <w:p>
      <w:pPr>
        <w:pStyle w:val="Normal"/>
        <w:ind w:firstLine="720" w:start="3600" w:end="0"/>
        <w:rPr/>
      </w:pPr>
      <w:r>
        <w:rPr/>
        <w:t>Respectfully submitted,</w:t>
      </w:r>
    </w:p>
    <w:p>
      <w:pPr>
        <w:pStyle w:val="Normal"/>
        <w:ind w:firstLine="720" w:start="1440" w:end="0"/>
        <w:rPr/>
      </w:pPr>
      <w:r>
        <w:rPr/>
        <w:tab/>
        <w:tab/>
        <w:tab/>
      </w:r>
      <w:r>
        <w:rPr>
          <w:b/>
        </w:rPr>
        <w:t>THE UTILITY REFORM NETWORK</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ab/>
        <w:tab/>
        <w:tab/>
        <w:tab/>
        <w:tab/>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start="4320" w:end="0"/>
        <w:rPr/>
      </w:pPr>
      <w:r>
        <w:rPr/>
        <w:t>By:</w:t>
        <w:tab/>
        <w:t>________________________</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firstLine="720" w:start="4320" w:end="0"/>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ab/>
        <w:tab/>
        <w:tab/>
        <w:tab/>
        <w:tab/>
        <w:t>Marcel Hawiger, Staff Attorney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ab/>
        <w:tab/>
        <w:tab/>
        <w:tab/>
        <w:tab/>
        <w:t>Michel Peter Florio, Senior Attorney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711 Van Ness Avenue, Suite 350</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San Francisco, CA 94102</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Phone:  (415) 929-8876</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Fax:  (415) 929-1132</w:t>
      </w:r>
    </w:p>
    <w:p>
      <w:pPr>
        <w:pStyle w:val="Normal"/>
        <w:spacing w:lineRule="auto" w:line="240"/>
        <w:ind w:firstLine="720" w:end="0"/>
        <w:rPr/>
      </w:pPr>
      <w:r>
        <w:rPr/>
        <w:tab/>
        <w:tab/>
        <w:tab/>
        <w:tab/>
        <w:tab/>
        <w:t>Email:  marcel@turn.org</w:t>
      </w:r>
    </w:p>
    <w:p>
      <w:pPr>
        <w:pStyle w:val="Normal"/>
        <w:spacing w:lineRule="auto" w:line="240"/>
        <w:rPr/>
      </w:pPr>
      <w:r>
        <w:rPr/>
      </w:r>
    </w:p>
    <w:p>
      <w:pPr>
        <w:pStyle w:val="Normal"/>
        <w:spacing w:lineRule="auto" w:line="240"/>
        <w:rPr/>
      </w:pPr>
      <w:r>
        <w:rPr/>
        <w:t>Dated:  July 31, 2000</w:t>
      </w:r>
    </w:p>
    <w:p>
      <w:pPr>
        <w:pStyle w:val="Normal"/>
        <w:rPr/>
      </w:pPr>
      <w:r>
        <w:rPr/>
      </w:r>
    </w:p>
    <w:sectPr>
      <w:footerReference w:type="default" r:id="rId3"/>
      <w:footerReference w:type="first" r:id="rId4"/>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25.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See, for example, ORA at 4, 11 and 63.</w:t>
      </w:r>
    </w:p>
  </w:footnote>
  <w:footnote w:id="3">
    <w:p>
      <w:pPr>
        <w:pStyle w:val="FootnoteText"/>
        <w:rPr/>
      </w:pPr>
      <w:r>
        <w:rPr>
          <w:rStyle w:val="FootnoteCharacters"/>
        </w:rPr>
        <w:footnoteRef/>
      </w:r>
      <w:r>
        <w:rPr/>
        <w:t xml:space="preserve"> </w:t>
      </w:r>
      <w:r>
        <w:rPr/>
        <w:t>Unless otherwise indicated, all references are to the identified party’s opening brief.</w:t>
      </w:r>
    </w:p>
  </w:footnote>
  <w:footnote w:id="4">
    <w:p>
      <w:pPr>
        <w:pStyle w:val="FootnoteText"/>
        <w:rPr/>
      </w:pPr>
      <w:r>
        <w:rPr>
          <w:rStyle w:val="FootnoteCharacters"/>
        </w:rPr>
        <w:footnoteRef/>
      </w:r>
      <w:r>
        <w:rPr/>
        <w:t xml:space="preserve"> </w:t>
      </w:r>
      <w:r>
        <w:rPr/>
        <w:t>Such an error simply results in a decreased need for flowing supplies by between 50 MMcf/d (at the 1000 level) and 67.5 MMcf/d (at 1350). One would need to reanalyze the data by subtracting a constant 5% from both the receipt and send-out data columns.  The net effect would be only a small reduction in the number of days the core required in excess of 1000 MMcf/d.</w:t>
      </w:r>
    </w:p>
  </w:footnote>
  <w:footnote w:id="5">
    <w:p>
      <w:pPr>
        <w:pStyle w:val="FootnoteText"/>
        <w:rPr/>
      </w:pPr>
      <w:r>
        <w:rPr>
          <w:rStyle w:val="FootnoteCharacters"/>
        </w:rPr>
        <w:footnoteRef/>
      </w:r>
      <w:r>
        <w:rPr/>
        <w:t xml:space="preserve"> </w:t>
      </w:r>
      <w:r>
        <w:rPr/>
        <w:t>TURN notes a typographical error on page 28 of our opening brief.  In the third line from the bottom of the page, the date “April 1999” should read “April 2000.”</w:t>
      </w:r>
    </w:p>
  </w:footnote>
  <w:footnote w:id="6">
    <w:p>
      <w:pPr>
        <w:pStyle w:val="FootnoteText"/>
        <w:rPr/>
      </w:pPr>
      <w:r>
        <w:rPr>
          <w:rStyle w:val="FootnoteCharacters"/>
        </w:rPr>
        <w:footnoteRef/>
      </w:r>
      <w:r>
        <w:rPr/>
        <w:t xml:space="preserve"> </w:t>
      </w:r>
      <w:r>
        <w:rPr/>
        <w:t>ORA concludes that interstate capacity unbundling was a major benefit since “today the vast majority of noncore customers obtain interstate capacity and gas supplies through marketers.” On the SoCalGas system (where interstate stranded costs were higher), about 12% (by number) of noncore customers (mostly the small G30 customers), subscribe to the core subscription program.</w:t>
      </w:r>
    </w:p>
  </w:footnote>
  <w:footnote w:id="7">
    <w:p>
      <w:pPr>
        <w:pStyle w:val="FootnoteText"/>
        <w:rPr/>
      </w:pPr>
      <w:r>
        <w:rPr>
          <w:rStyle w:val="FootnoteCharacters"/>
        </w:rPr>
        <w:footnoteRef/>
      </w:r>
      <w:r>
        <w:rPr/>
        <w:t xml:space="preserve"> </w:t>
      </w:r>
      <w:r>
        <w:rPr/>
        <w:t>Obviously, the two situations are different and a different set of “risk factors” might be more meaningful to assess whether the Gas Accord is really working as promised.</w:t>
      </w:r>
    </w:p>
  </w:footnote>
  <w:footnote w:id="8">
    <w:p>
      <w:pPr>
        <w:pStyle w:val="FootnoteText"/>
        <w:rPr/>
      </w:pPr>
      <w:r>
        <w:rPr>
          <w:rStyle w:val="FootnoteCharacters"/>
        </w:rPr>
        <w:footnoteRef/>
      </w:r>
      <w:r>
        <w:rPr/>
        <w:t xml:space="preserve"> </w:t>
      </w:r>
      <w:r>
        <w:rPr/>
        <w:t>(926/(1803-570))=0.751</w:t>
      </w:r>
    </w:p>
  </w:footnote>
  <w:footnote w:id="9">
    <w:p>
      <w:pPr>
        <w:pStyle w:val="FootnoteText"/>
        <w:rPr/>
      </w:pPr>
      <w:r>
        <w:rPr>
          <w:rStyle w:val="FootnoteCharacters"/>
        </w:rPr>
        <w:footnoteRef/>
      </w:r>
      <w:r>
        <w:rPr/>
        <w:t xml:space="preserve"> </w:t>
      </w:r>
      <w:r>
        <w:rPr/>
        <w:t>The open season storage “package” is priced at $0.667 per dth per year, or about three time as much as the embedded (or marginal) cost of approximately $0.20 for an Mcf of inventory storage.</w:t>
      </w:r>
    </w:p>
  </w:footnote>
  <w:footnote w:id="10">
    <w:p>
      <w:pPr>
        <w:pStyle w:val="FootnoteText"/>
        <w:rPr/>
      </w:pPr>
      <w:r>
        <w:rPr>
          <w:rStyle w:val="FootnoteCharacters"/>
        </w:rPr>
        <w:footnoteRef/>
      </w:r>
      <w:r>
        <w:rPr/>
        <w:t xml:space="preserve"> </w:t>
      </w:r>
      <w:r>
        <w:rPr/>
        <w:t>In other words, if CTA throughput is 10%, the total payment by all core transport customers will be 10% of the stranded costs, even though the allocation between residential and commercial/industrial will be more complicated.</w:t>
      </w:r>
    </w:p>
  </w:footnote>
  <w:footnote w:id="11">
    <w:p>
      <w:pPr>
        <w:pStyle w:val="FootnoteText"/>
        <w:rPr/>
      </w:pPr>
      <w:r>
        <w:rPr>
          <w:rStyle w:val="FootnoteCharacters"/>
        </w:rPr>
        <w:footnoteRef/>
      </w:r>
      <w:r>
        <w:rPr/>
        <w:t xml:space="preserve"> </w:t>
      </w:r>
      <w:r>
        <w:rPr/>
        <w:t xml:space="preserve">A.97-12-048: “Comments of the ORA on the Proposed Decision,” November 16, 1998, p. 2; “Comments of the ORA on the Proposed Alternate Decision,” November 25, 1998, p. 3.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94"/>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240" w:before="240" w:after="60"/>
      <w:outlineLvl w:val="0"/>
    </w:pPr>
    <w:rPr>
      <w:b/>
      <w:caps/>
    </w:rPr>
  </w:style>
  <w:style w:type="paragraph" w:styleId="Heading2">
    <w:name w:val="heading 2"/>
    <w:basedOn w:val="Normal"/>
    <w:next w:val="Normal"/>
    <w:qFormat/>
    <w:pPr>
      <w:keepNext w:val="true"/>
      <w:numPr>
        <w:ilvl w:val="1"/>
        <w:numId w:val="1"/>
      </w:numPr>
      <w:spacing w:lineRule="auto" w:line="240" w:before="240" w:after="60"/>
      <w:outlineLvl w:val="1"/>
    </w:pPr>
    <w:rPr>
      <w:b/>
      <w:smallCaps/>
    </w:rPr>
  </w:style>
  <w:style w:type="paragraph" w:styleId="Heading3">
    <w:name w:val="heading 3"/>
    <w:basedOn w:val="Normal"/>
    <w:next w:val="Normal"/>
    <w:qFormat/>
    <w:pPr>
      <w:keepNext w:val="true"/>
      <w:numPr>
        <w:ilvl w:val="2"/>
        <w:numId w:val="1"/>
      </w:numPr>
      <w:spacing w:lineRule="auto" w:line="240" w:before="240" w:after="60"/>
      <w:outlineLvl w:val="2"/>
    </w:pPr>
    <w:rPr>
      <w:b/>
    </w:rPr>
  </w:style>
  <w:style w:type="paragraph" w:styleId="Heading4">
    <w:name w:val="heading 4"/>
    <w:basedOn w:val="Normal"/>
    <w:next w:val="Normal"/>
    <w:qFormat/>
    <w:pPr>
      <w:keepNext w:val="true"/>
      <w:numPr>
        <w:ilvl w:val="3"/>
        <w:numId w:val="1"/>
      </w:numPr>
      <w:spacing w:lineRule="auto" w:line="240" w:before="240" w:after="60"/>
      <w:outlineLvl w:val="3"/>
    </w:pPr>
    <w:rPr>
      <w:b/>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outlineLvl w:val="5"/>
    </w:pPr>
    <w:rPr>
      <w:u w:val="single"/>
    </w:rPr>
  </w:style>
  <w:style w:type="paragraph" w:styleId="Heading7">
    <w:name w:val="heading 7"/>
    <w:basedOn w:val="Normal"/>
    <w:next w:val="Normal"/>
    <w:qFormat/>
    <w:pPr>
      <w:keepNext w:val="true"/>
      <w:numPr>
        <w:ilvl w:val="6"/>
        <w:numId w:val="1"/>
      </w:numPr>
      <w:outlineLvl w:val="6"/>
    </w:pPr>
    <w:rPr>
      <w:u w:val="single"/>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auto" w:line="240"/>
    </w:pPr>
    <w:rPr>
      <w:sz w:val="20"/>
    </w:rPr>
  </w:style>
  <w:style w:type="paragraph" w:styleId="EnvelopeAddress">
    <w:name w:val="envelope address"/>
    <w:basedOn w:val="Normal"/>
    <w:pPr>
      <w:spacing w:lineRule="auto" w:line="360"/>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2000-07-31T20:02:00Z</dcterms:created>
  <dc:creator>Marcel Hawiger</dc:creator>
  <dc:description/>
  <dc:language>en-CA</dc:language>
  <cp:lastModifiedBy>PER SCHOLAS</cp:lastModifiedBy>
  <cp:lastPrinted>2000-07-24T16:12:00Z</cp:lastPrinted>
  <dcterms:modified xsi:type="dcterms:W3CDTF">2000-07-31T20:52:00Z</dcterms:modified>
  <cp:revision>3</cp:revision>
  <dc:subject/>
  <dc:title>The ORA supports the Comprehensive Settlement Agreement and argues that its benefits will outweigh possible costs</dc:title>
</cp:coreProperties>
</file>