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3"/>
        <w:rPr>
          <w:sz w:val="48"/>
        </w:rPr>
      </w:pPr>
      <w:r>
        <w:rPr>
          <w:sz w:val="48"/>
        </w:rPr>
      </w:r>
    </w:p>
    <w:p>
      <w:pPr>
        <w:pStyle w:val="Heading3"/>
        <w:rPr/>
      </w:pPr>
      <w:r>
        <w:rPr>
          <w:rFonts w:eastAsia="Arial"/>
          <w:sz w:val="52"/>
        </w:rPr>
        <w:t xml:space="preserve">   </w: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2">
                <wp:simplePos x="0" y="0"/>
                <wp:positionH relativeFrom="column">
                  <wp:posOffset>0</wp:posOffset>
                </wp:positionH>
                <wp:positionV relativeFrom="paragraph">
                  <wp:posOffset>365760</wp:posOffset>
                </wp:positionV>
                <wp:extent cx="6949440" cy="0"/>
                <wp:effectExtent l="0" t="11430" r="0" b="11430"/>
                <wp:wrapNone/>
                <wp:docPr id="1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49440" cy="0"/>
                        </a:xfrm>
                        <a:prstGeom prst="line">
                          <a:avLst/>
                        </a:prstGeom>
                        <a:ln w="2232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0pt,28.8pt" to="547.15pt,28.8pt" stroked="t" o:allowincell="f" style="position:absolute">
                <v:stroke color="black" weight="22320" joinstyle="miter" endcap="flat"/>
                <v:fill o:detectmouseclick="t" on="false"/>
                <w10:wrap type="none"/>
              </v:line>
            </w:pict>
          </mc:Fallback>
        </mc:AlternateContent>
      </w:r>
      <w:r>
        <w:rPr>
          <w:rFonts w:cs="Times New Roman" w:ascii="Times New Roman" w:hAnsi="Times New Roman"/>
          <w:sz w:val="52"/>
        </w:rPr>
        <w:t>Justin A. O’Malley</w:t>
      </w:r>
    </w:p>
    <w:p>
      <w:pPr>
        <w:pStyle w:val="Normal"/>
        <w:widowControl w:val="false"/>
        <w:tabs>
          <w:tab w:val="left" w:pos="720" w:leader="none"/>
          <w:tab w:val="left" w:pos="8550" w:leader="none"/>
          <w:tab w:val="left" w:pos="9270" w:leader="none"/>
        </w:tabs>
        <w:rPr>
          <w:rFonts w:ascii="Times New Roman" w:hAnsi="Times New Roman" w:cs="Times New Roman"/>
          <w:b/>
          <w:sz w:val="22"/>
        </w:rPr>
      </w:pPr>
      <w:r>
        <w:rPr>
          <w:rFonts w:cs="Times New Roman"/>
          <w:b/>
          <w:sz w:val="22"/>
        </w:rPr>
      </w:r>
    </w:p>
    <w:p>
      <w:pPr>
        <w:pStyle w:val="Normal"/>
        <w:widowControl w:val="false"/>
        <w:tabs>
          <w:tab w:val="left" w:pos="720" w:leader="none"/>
          <w:tab w:val="left" w:pos="8550" w:leader="none"/>
          <w:tab w:val="left" w:pos="9270" w:leader="none"/>
        </w:tabs>
        <w:rPr>
          <w:sz w:val="18"/>
        </w:rPr>
      </w:pPr>
      <w:r>
        <w:rPr>
          <w:b/>
          <w:sz w:val="22"/>
        </w:rPr>
        <w:t>Home</w:t>
      </w:r>
      <w:r>
        <w:rPr>
          <w:b/>
        </w:rPr>
        <w:t>:</w:t>
      </w:r>
      <w:r>
        <w:rPr/>
        <w:tab/>
        <w:t>2110 Baldwin  #2115</w:t>
        <w:tab/>
      </w:r>
      <w:r>
        <w:rPr>
          <w:b/>
          <w:sz w:val="22"/>
        </w:rPr>
        <w:t>Office:</w:t>
      </w:r>
      <w:r>
        <w:rPr>
          <w:b/>
          <w:sz w:val="18"/>
        </w:rPr>
        <w:tab/>
      </w:r>
      <w:r>
        <w:rPr/>
        <w:t>1400 Smith Street</w:t>
      </w:r>
    </w:p>
    <w:p>
      <w:pPr>
        <w:pStyle w:val="Normal"/>
        <w:widowControl w:val="false"/>
        <w:tabs>
          <w:tab w:val="clear" w:pos="720"/>
          <w:tab w:val="left" w:pos="9270" w:leader="none"/>
        </w:tabs>
        <w:ind w:start="720" w:end="0"/>
        <w:rPr/>
      </w:pPr>
      <w:r>
        <w:rPr/>
        <w:t>Houston, Texas 77002</w:t>
        <w:tab/>
        <w:t>Houston, Texas 77002</w:t>
      </w:r>
    </w:p>
    <w:p>
      <w:pPr>
        <w:pStyle w:val="Normal"/>
        <w:widowControl w:val="false"/>
        <w:tabs>
          <w:tab w:val="clear" w:pos="720"/>
          <w:tab w:val="left" w:pos="9270" w:leader="none"/>
        </w:tabs>
        <w:ind w:start="720" w:end="0"/>
        <w:rPr>
          <w:rFonts w:ascii="Arial" w:hAnsi="Arial" w:cs="Arial"/>
        </w:rPr>
      </w:pPr>
      <w:r>
        <w:rPr/>
        <w:t>(713) 528-8781</w:t>
      </w:r>
      <w:r>
        <w:rPr>
          <w:rFonts w:cs="Arial" w:ascii="Arial" w:hAnsi="Arial"/>
        </w:rPr>
        <w:tab/>
      </w:r>
      <w:r>
        <w:rPr/>
        <w:t>(713) 345-8934</w:t>
      </w:r>
    </w:p>
    <w:p>
      <w:pPr>
        <w:pStyle w:val="Normal"/>
        <w:widowControl w:val="false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p>
      <w:pPr>
        <w:pStyle w:val="Normal"/>
        <w:widowControl w:val="false"/>
        <w:tabs>
          <w:tab w:val="clear" w:pos="720"/>
          <w:tab w:val="left" w:pos="1440" w:leader="none"/>
          <w:tab w:val="left" w:pos="8460" w:leader="none"/>
        </w:tabs>
        <w:rPr>
          <w:i/>
          <w:i/>
          <w:sz w:val="22"/>
        </w:rPr>
      </w:pPr>
      <w:r>
        <w:rPr>
          <w:b/>
          <w:sz w:val="24"/>
        </w:rPr>
        <w:t>Education</w:t>
        <w:tab/>
        <w:t xml:space="preserve">The University of Oklahoma, </w:t>
      </w:r>
      <w:r>
        <w:rPr>
          <w:i/>
        </w:rPr>
        <w:t>Norman, OK</w:t>
        <w:tab/>
        <w:t>Fall 1995 - Fall 1999</w:t>
      </w:r>
    </w:p>
    <w:p>
      <w:pPr>
        <w:pStyle w:val="Normal"/>
        <w:widowControl w:val="false"/>
        <w:tabs>
          <w:tab w:val="clear" w:pos="720"/>
          <w:tab w:val="left" w:pos="1440" w:leader="none"/>
        </w:tabs>
        <w:rPr/>
      </w:pPr>
      <w:r>
        <w:rPr>
          <w:i/>
        </w:rPr>
        <w:tab/>
      </w:r>
      <w:r>
        <w:rPr/>
        <w:t xml:space="preserve">Bachelor of Business Administration </w:t>
      </w:r>
    </w:p>
    <w:p>
      <w:pPr>
        <w:pStyle w:val="Normal"/>
        <w:widowControl w:val="false"/>
        <w:tabs>
          <w:tab w:val="clear" w:pos="720"/>
          <w:tab w:val="left" w:pos="1440" w:leader="none"/>
        </w:tabs>
        <w:rPr/>
      </w:pPr>
      <w:r>
        <w:rPr/>
        <w:tab/>
        <w:t>Concentration in Finance/Accounting</w:t>
      </w:r>
    </w:p>
    <w:p>
      <w:pPr>
        <w:pStyle w:val="Normal"/>
        <w:widowControl w:val="false"/>
        <w:tabs>
          <w:tab w:val="clear" w:pos="720"/>
          <w:tab w:val="left" w:pos="3780" w:leader="none"/>
        </w:tabs>
        <w:ind w:firstLine="720" w:start="720" w:end="0"/>
        <w:rPr/>
      </w:pPr>
      <w:r>
        <w:rPr/>
        <w:t>Business GPA: 3.6</w:t>
        <w:tab/>
        <w:t>Overall GPA: 3.4</w:t>
      </w:r>
    </w:p>
    <w:p>
      <w:pPr>
        <w:pStyle w:val="Normal"/>
        <w:widowControl w:val="false"/>
        <w:tabs>
          <w:tab w:val="clear" w:pos="720"/>
          <w:tab w:val="left" w:pos="1440" w:leader="none"/>
          <w:tab w:val="left" w:pos="8460" w:leader="none"/>
        </w:tabs>
        <w:rPr>
          <w:i/>
          <w:i/>
          <w:sz w:val="16"/>
        </w:rPr>
      </w:pPr>
      <w:r>
        <w:rPr>
          <w:i/>
          <w:sz w:val="16"/>
        </w:rPr>
      </w:r>
    </w:p>
    <w:p>
      <w:pPr>
        <w:pStyle w:val="Normal"/>
        <w:widowControl w:val="false"/>
        <w:tabs>
          <w:tab w:val="clear" w:pos="720"/>
          <w:tab w:val="left" w:pos="1440" w:leader="none"/>
          <w:tab w:val="left" w:pos="8460" w:leader="none"/>
        </w:tabs>
        <w:rPr>
          <w:i/>
          <w:i/>
          <w:sz w:val="16"/>
        </w:rPr>
      </w:pPr>
      <w:r>
        <w:rPr>
          <w:i/>
          <w:sz w:val="16"/>
        </w:rPr>
      </w:r>
    </w:p>
    <w:p>
      <w:pPr>
        <w:pStyle w:val="Normal"/>
        <w:widowControl w:val="false"/>
        <w:tabs>
          <w:tab w:val="clear" w:pos="720"/>
          <w:tab w:val="left" w:pos="1440" w:leader="none"/>
          <w:tab w:val="left" w:pos="8460" w:leader="none"/>
        </w:tabs>
        <w:rPr/>
      </w:pPr>
      <w:r>
        <w:rPr>
          <w:b/>
          <w:sz w:val="24"/>
        </w:rPr>
        <w:t>Experience</w:t>
        <w:tab/>
        <w:t>Enron North America</w:t>
      </w:r>
      <w:r>
        <w:rPr>
          <w:b/>
          <w:i/>
        </w:rPr>
        <w:t>,</w:t>
      </w:r>
      <w:r>
        <w:rPr>
          <w:i/>
        </w:rPr>
        <w:t xml:space="preserve"> Houston, TX</w:t>
        <w:tab/>
        <w:t xml:space="preserve"> February 2001-Present</w:t>
      </w:r>
    </w:p>
    <w:p>
      <w:pPr>
        <w:pStyle w:val="Normal"/>
        <w:widowControl w:val="false"/>
        <w:tabs>
          <w:tab w:val="clear" w:pos="720"/>
          <w:tab w:val="left" w:pos="1440" w:leader="none"/>
          <w:tab w:val="left" w:pos="8460" w:leader="none"/>
        </w:tabs>
        <w:rPr/>
      </w:pPr>
      <w:r>
        <w:rPr>
          <w:i/>
        </w:rPr>
        <w:tab/>
        <w:t>Analyst</w:t>
      </w:r>
      <w:r>
        <w:rPr>
          <w:i/>
          <w:iCs/>
        </w:rPr>
        <w:t>– Gas Trading- Fundamentals</w:t>
      </w:r>
    </w:p>
    <w:p>
      <w:pPr>
        <w:pStyle w:val="Normal"/>
        <w:numPr>
          <w:ilvl w:val="0"/>
          <w:numId w:val="4"/>
        </w:numPr>
        <w:ind w:hanging="0" w:start="1440" w:end="0"/>
        <w:rPr/>
      </w:pPr>
      <w:r>
        <w:rPr/>
        <w:t xml:space="preserve">Perform fundamental analysis of North American natural gas market </w:t>
      </w:r>
    </w:p>
    <w:p>
      <w:pPr>
        <w:pStyle w:val="Normal"/>
        <w:numPr>
          <w:ilvl w:val="0"/>
          <w:numId w:val="4"/>
        </w:numPr>
        <w:ind w:hanging="0" w:start="1440" w:end="0"/>
        <w:rPr/>
      </w:pPr>
      <w:r>
        <w:rPr/>
        <w:t>As a member of the storage, transportation and pipeline group, provide direct support to</w:t>
      </w:r>
    </w:p>
    <w:p>
      <w:pPr>
        <w:pStyle w:val="Normal"/>
        <w:ind w:start="1440" w:end="0"/>
        <w:rPr/>
      </w:pPr>
      <w:r>
        <w:rPr/>
        <w:t xml:space="preserve">       </w:t>
      </w:r>
      <w:r>
        <w:rPr/>
        <w:t>central region gas trading desk</w:t>
      </w:r>
    </w:p>
    <w:p>
      <w:pPr>
        <w:pStyle w:val="Normal"/>
        <w:numPr>
          <w:ilvl w:val="0"/>
          <w:numId w:val="4"/>
        </w:numPr>
        <w:ind w:hanging="0" w:start="1440" w:end="0"/>
        <w:rPr/>
      </w:pPr>
      <w:r>
        <w:rPr/>
        <w:t>Update, maintain and distribute daily reports for traders</w:t>
      </w:r>
    </w:p>
    <w:p>
      <w:pPr>
        <w:pStyle w:val="Normal"/>
        <w:numPr>
          <w:ilvl w:val="0"/>
          <w:numId w:val="4"/>
        </w:numPr>
        <w:ind w:hanging="0" w:start="1440" w:end="0"/>
        <w:rPr/>
      </w:pPr>
      <w:r>
        <w:rPr/>
        <w:t>Build and implement database to create automated daily pipeline operational reports</w:t>
      </w:r>
    </w:p>
    <w:p>
      <w:pPr>
        <w:pStyle w:val="Normal"/>
        <w:numPr>
          <w:ilvl w:val="0"/>
          <w:numId w:val="4"/>
        </w:numPr>
        <w:ind w:hanging="360" w:start="1800" w:end="0"/>
        <w:rPr/>
      </w:pPr>
      <w:r>
        <w:rPr/>
        <w:t>Publish weekly market update and analysis summarizing central region gas market components</w:t>
      </w:r>
    </w:p>
    <w:p>
      <w:pPr>
        <w:pStyle w:val="Normal"/>
        <w:ind w:firstLine="360" w:start="1440" w:end="0"/>
        <w:rPr/>
      </w:pPr>
      <w:r>
        <w:rPr/>
        <w:t xml:space="preserve">including production, imports, storage activity, pipeline flow and weather trends  </w:t>
      </w:r>
    </w:p>
    <w:p>
      <w:pPr>
        <w:pStyle w:val="Normal"/>
        <w:ind w:start="1440" w:end="0"/>
        <w:rPr/>
      </w:pPr>
      <w:r>
        <w:rPr/>
      </w:r>
    </w:p>
    <w:p>
      <w:pPr>
        <w:pStyle w:val="Normal"/>
        <w:tabs>
          <w:tab w:val="clear" w:pos="720"/>
          <w:tab w:val="left" w:pos="8550" w:leader="none"/>
        </w:tabs>
        <w:ind w:firstLine="90" w:start="1350" w:end="0"/>
        <w:rPr/>
      </w:pPr>
      <w:r>
        <w:rPr/>
        <w:t xml:space="preserve">       </w:t>
      </w:r>
    </w:p>
    <w:p>
      <w:pPr>
        <w:pStyle w:val="Normal"/>
        <w:tabs>
          <w:tab w:val="clear" w:pos="720"/>
          <w:tab w:val="left" w:pos="8550" w:leader="none"/>
        </w:tabs>
        <w:ind w:firstLine="90" w:start="1350" w:end="0"/>
        <w:rPr/>
      </w:pPr>
      <w:r>
        <w:rPr>
          <w:b/>
          <w:sz w:val="24"/>
        </w:rPr>
        <w:t>Enron Energy Services</w:t>
      </w:r>
      <w:r>
        <w:rPr>
          <w:b/>
          <w:i/>
        </w:rPr>
        <w:t>,</w:t>
      </w:r>
      <w:r>
        <w:rPr>
          <w:i/>
        </w:rPr>
        <w:t xml:space="preserve"> Houston, TX</w:t>
      </w:r>
    </w:p>
    <w:p>
      <w:pPr>
        <w:pStyle w:val="Normal"/>
        <w:tabs>
          <w:tab w:val="clear" w:pos="720"/>
          <w:tab w:val="left" w:pos="8550" w:leader="none"/>
          <w:tab w:val="left" w:pos="8730" w:leader="none"/>
        </w:tabs>
        <w:ind w:start="1440" w:end="0"/>
        <w:rPr/>
      </w:pPr>
      <w:r>
        <w:rPr>
          <w:i/>
          <w:iCs/>
        </w:rPr>
        <w:t>Economic Analyst – Risk Control and Analysis (Gas Commodity)</w:t>
      </w:r>
      <w:r>
        <w:rPr/>
        <w:t xml:space="preserve">                                    </w:t>
      </w:r>
      <w:r>
        <w:rPr>
          <w:i/>
          <w:iCs/>
        </w:rPr>
        <w:t>February 2000-January 2001</w:t>
      </w:r>
    </w:p>
    <w:p>
      <w:pPr>
        <w:pStyle w:val="Normal"/>
        <w:numPr>
          <w:ilvl w:val="0"/>
          <w:numId w:val="4"/>
        </w:numPr>
        <w:ind w:hanging="0" w:start="1440" w:end="0"/>
        <w:rPr/>
      </w:pPr>
      <w:r>
        <w:rPr/>
        <w:t>Support and analysis of retail natural gas trading and delivery functions in the northeast region</w:t>
      </w:r>
    </w:p>
    <w:p>
      <w:pPr>
        <w:pStyle w:val="Normal"/>
        <w:widowControl w:val="false"/>
        <w:numPr>
          <w:ilvl w:val="0"/>
          <w:numId w:val="4"/>
        </w:numPr>
        <w:ind w:hanging="0" w:start="1440" w:end="1980"/>
        <w:rPr/>
      </w:pPr>
      <w:r>
        <w:rPr/>
        <w:t>Calculate daily and monthly profit and loss statements by region, utility and end user</w:t>
      </w:r>
    </w:p>
    <w:p>
      <w:pPr>
        <w:pStyle w:val="Normal"/>
        <w:widowControl w:val="false"/>
        <w:numPr>
          <w:ilvl w:val="0"/>
          <w:numId w:val="4"/>
        </w:numPr>
        <w:ind w:hanging="360" w:start="1800" w:end="1980"/>
        <w:rPr/>
      </w:pPr>
      <w:r>
        <w:rPr/>
        <w:t>Work closely with traders/schedulers to analyze supply costs, sales prices, and volume control issues</w:t>
      </w:r>
    </w:p>
    <w:p>
      <w:pPr>
        <w:pStyle w:val="Normal"/>
        <w:widowControl w:val="false"/>
        <w:numPr>
          <w:ilvl w:val="0"/>
          <w:numId w:val="4"/>
        </w:numPr>
        <w:ind w:hanging="360" w:start="1800" w:end="1980"/>
        <w:rPr/>
      </w:pPr>
      <w:r>
        <w:rPr/>
        <w:t>Prepare and present detailed financial results presentations to management</w:t>
      </w:r>
    </w:p>
    <w:p>
      <w:pPr>
        <w:pStyle w:val="Normal"/>
        <w:widowControl w:val="false"/>
        <w:numPr>
          <w:ilvl w:val="0"/>
          <w:numId w:val="4"/>
        </w:numPr>
        <w:ind w:hanging="360" w:start="1800" w:end="1980"/>
        <w:rPr/>
      </w:pPr>
      <w:bookmarkStart w:id="0" w:name="OLE_LINK1"/>
      <w:bookmarkEnd w:id="0"/>
      <w:r>
        <w:rPr/>
        <w:t>Develop method and maintain template to analyze profit and loss for a particular deal behind numerous sites and citygates from a gas trading/delivery perspective</w:t>
      </w:r>
    </w:p>
    <w:p>
      <w:pPr>
        <w:pStyle w:val="Normal"/>
        <w:widowControl w:val="false"/>
        <w:numPr>
          <w:ilvl w:val="0"/>
          <w:numId w:val="4"/>
        </w:numPr>
        <w:ind w:hanging="360" w:start="1800" w:end="1980"/>
        <w:rPr/>
      </w:pPr>
      <w:bookmarkStart w:id="1" w:name="OLE_LINK1"/>
      <w:bookmarkEnd w:id="1"/>
      <w:r>
        <w:rPr/>
        <w:t>Analysis of structured vs. actual delivered gas volumes</w:t>
      </w:r>
    </w:p>
    <w:p>
      <w:pPr>
        <w:pStyle w:val="Normal"/>
        <w:widowControl w:val="false"/>
        <w:numPr>
          <w:ilvl w:val="0"/>
          <w:numId w:val="4"/>
        </w:numPr>
        <w:ind w:hanging="360" w:start="1800" w:end="1980"/>
        <w:rPr/>
      </w:pPr>
      <w:r>
        <w:rPr/>
        <w:t xml:space="preserve">Maintain natural gas storage valuation on a month to month basis </w:t>
      </w:r>
    </w:p>
    <w:p>
      <w:pPr>
        <w:pStyle w:val="Normal"/>
        <w:widowControl w:val="false"/>
        <w:numPr>
          <w:ilvl w:val="0"/>
          <w:numId w:val="4"/>
        </w:numPr>
        <w:ind w:hanging="360" w:start="1800" w:end="1980"/>
        <w:rPr/>
      </w:pPr>
      <w:r>
        <w:rPr/>
        <w:t>Create liquidation/settlement report for actualization of mark to market profit and loss</w:t>
      </w:r>
    </w:p>
    <w:p>
      <w:pPr>
        <w:pStyle w:val="Normal"/>
        <w:widowControl w:val="false"/>
        <w:numPr>
          <w:ilvl w:val="0"/>
          <w:numId w:val="4"/>
        </w:numPr>
        <w:ind w:hanging="360" w:start="1800" w:end="1980"/>
        <w:rPr/>
      </w:pPr>
      <w:r>
        <w:rPr/>
        <w:t>Train new analysts and specialists on groups functions and objectives</w:t>
      </w:r>
    </w:p>
    <w:p>
      <w:pPr>
        <w:pStyle w:val="Header"/>
        <w:widowControl w:val="false"/>
        <w:tabs>
          <w:tab w:val="clear" w:pos="4320"/>
          <w:tab w:val="clear" w:pos="8640"/>
        </w:tabs>
        <w:rPr>
          <w:sz w:val="16"/>
        </w:rPr>
      </w:pPr>
      <w:r>
        <w:rPr>
          <w:sz w:val="16"/>
        </w:rPr>
      </w:r>
    </w:p>
    <w:p>
      <w:pPr>
        <w:pStyle w:val="Normal"/>
        <w:widowControl w:val="false"/>
        <w:tabs>
          <w:tab w:val="clear" w:pos="720"/>
          <w:tab w:val="left" w:pos="1440" w:leader="none"/>
          <w:tab w:val="left" w:pos="8460" w:leader="none"/>
        </w:tabs>
        <w:rPr>
          <w:b/>
          <w:sz w:val="24"/>
        </w:rPr>
      </w:pPr>
      <w:r>
        <w:rPr>
          <w:b/>
          <w:sz w:val="24"/>
        </w:rPr>
        <w:tab/>
      </w:r>
    </w:p>
    <w:p>
      <w:pPr>
        <w:pStyle w:val="Normal"/>
        <w:widowControl w:val="false"/>
        <w:tabs>
          <w:tab w:val="clear" w:pos="720"/>
          <w:tab w:val="left" w:pos="1440" w:leader="none"/>
          <w:tab w:val="left" w:pos="8460" w:leader="none"/>
        </w:tabs>
        <w:rPr/>
      </w:pPr>
      <w:r>
        <w:rPr>
          <w:b/>
          <w:sz w:val="24"/>
        </w:rPr>
        <w:tab/>
        <w:t xml:space="preserve">Arthur Andersen LLP </w:t>
      </w:r>
      <w:r>
        <w:rPr>
          <w:i/>
        </w:rPr>
        <w:t>Houston</w:t>
      </w:r>
      <w:r>
        <w:rPr>
          <w:i/>
          <w:sz w:val="24"/>
        </w:rPr>
        <w:t>, TX</w:t>
      </w:r>
      <w:r>
        <w:rPr>
          <w:i/>
        </w:rPr>
        <w:tab/>
        <w:t>Summer 1999</w:t>
      </w:r>
    </w:p>
    <w:p>
      <w:pPr>
        <w:pStyle w:val="Heading7"/>
        <w:rPr/>
      </w:pPr>
      <w:r>
        <w:rPr/>
        <w:t xml:space="preserve">Intern Staff Auditor </w:t>
      </w:r>
    </w:p>
    <w:p>
      <w:pPr>
        <w:pStyle w:val="Normal"/>
        <w:widowControl w:val="false"/>
        <w:numPr>
          <w:ilvl w:val="0"/>
          <w:numId w:val="2"/>
        </w:numPr>
        <w:tabs>
          <w:tab w:val="clear" w:pos="720"/>
          <w:tab w:val="left" w:pos="1800" w:leader="none"/>
        </w:tabs>
        <w:ind w:hanging="0" w:start="1440" w:end="1980"/>
        <w:rPr/>
      </w:pPr>
      <w:r>
        <w:rPr/>
        <w:t xml:space="preserve">Assist with corporate audit team on consolidation and reporting of subsidiaries financial          </w:t>
      </w:r>
    </w:p>
    <w:p>
      <w:pPr>
        <w:pStyle w:val="Normal"/>
        <w:widowControl w:val="false"/>
        <w:numPr>
          <w:ilvl w:val="0"/>
          <w:numId w:val="4"/>
        </w:numPr>
        <w:ind w:hanging="360" w:start="1800" w:end="1980"/>
        <w:rPr/>
      </w:pPr>
      <w:r>
        <w:rPr/>
        <w:t>Verify compliance of SEC reporting and disclosure guidelines</w:t>
      </w:r>
    </w:p>
    <w:p>
      <w:pPr>
        <w:pStyle w:val="Normal"/>
        <w:widowControl w:val="false"/>
        <w:tabs>
          <w:tab w:val="clear" w:pos="720"/>
          <w:tab w:val="left" w:pos="1440" w:leader="none"/>
          <w:tab w:val="left" w:pos="8460" w:leader="none"/>
        </w:tabs>
        <w:ind w:start="1440" w:end="0"/>
        <w:rPr>
          <w:b/>
          <w:sz w:val="23"/>
        </w:rPr>
      </w:pPr>
      <w:r>
        <w:rPr>
          <w:b/>
          <w:sz w:val="23"/>
        </w:rPr>
      </w:r>
    </w:p>
    <w:p>
      <w:pPr>
        <w:pStyle w:val="Normal"/>
        <w:widowControl w:val="false"/>
        <w:tabs>
          <w:tab w:val="clear" w:pos="720"/>
          <w:tab w:val="left" w:pos="1440" w:leader="none"/>
          <w:tab w:val="left" w:pos="8460" w:leader="none"/>
          <w:tab w:val="left" w:pos="9360" w:leader="none"/>
          <w:tab w:val="left" w:pos="9630" w:leader="none"/>
        </w:tabs>
        <w:rPr>
          <w:b/>
          <w:sz w:val="24"/>
        </w:rPr>
      </w:pPr>
      <w:r>
        <w:rPr>
          <w:b/>
          <w:sz w:val="24"/>
        </w:rPr>
        <w:tab/>
      </w:r>
    </w:p>
    <w:p>
      <w:pPr>
        <w:pStyle w:val="Normal"/>
        <w:widowControl w:val="false"/>
        <w:tabs>
          <w:tab w:val="clear" w:pos="720"/>
          <w:tab w:val="left" w:pos="1440" w:leader="none"/>
          <w:tab w:val="left" w:pos="8460" w:leader="none"/>
          <w:tab w:val="left" w:pos="9360" w:leader="none"/>
          <w:tab w:val="left" w:pos="9630" w:leader="none"/>
        </w:tabs>
        <w:rPr/>
      </w:pPr>
      <w:r>
        <w:rPr>
          <w:b/>
          <w:sz w:val="24"/>
        </w:rPr>
        <w:tab/>
        <w:t>Arthur Andersen LLP</w:t>
      </w:r>
      <w:r>
        <w:rPr>
          <w:b/>
          <w:sz w:val="23"/>
        </w:rPr>
        <w:t xml:space="preserve"> </w:t>
      </w:r>
      <w:r>
        <w:rPr>
          <w:i/>
        </w:rPr>
        <w:t>Oklahoma City, OK</w:t>
        <w:tab/>
        <w:t xml:space="preserve">  Spring 1999</w:t>
      </w:r>
    </w:p>
    <w:p>
      <w:pPr>
        <w:pStyle w:val="Normal"/>
        <w:widowControl w:val="false"/>
        <w:ind w:start="1440" w:end="0"/>
        <w:rPr>
          <w:i/>
          <w:i/>
        </w:rPr>
      </w:pPr>
      <w:r>
        <w:rPr>
          <w:i/>
        </w:rPr>
        <w:t xml:space="preserve">Intern Staff Auditor </w:t>
      </w:r>
    </w:p>
    <w:p>
      <w:pPr>
        <w:pStyle w:val="Normal"/>
        <w:widowControl w:val="false"/>
        <w:numPr>
          <w:ilvl w:val="0"/>
          <w:numId w:val="3"/>
        </w:numPr>
        <w:tabs>
          <w:tab w:val="clear" w:pos="720"/>
          <w:tab w:val="left" w:pos="1800" w:leader="none"/>
        </w:tabs>
        <w:ind w:hanging="0" w:start="1440" w:end="1980"/>
        <w:rPr>
          <w:b/>
          <w:sz w:val="23"/>
        </w:rPr>
      </w:pPr>
      <w:r>
        <w:rPr/>
        <w:t>Perform Financial Audit of Kerr-McGee Credit Corporation</w:t>
      </w:r>
    </w:p>
    <w:p>
      <w:pPr>
        <w:pStyle w:val="Normal"/>
        <w:widowControl w:val="false"/>
        <w:numPr>
          <w:ilvl w:val="0"/>
          <w:numId w:val="3"/>
        </w:numPr>
        <w:tabs>
          <w:tab w:val="clear" w:pos="720"/>
          <w:tab w:val="left" w:pos="1800" w:leader="none"/>
        </w:tabs>
        <w:ind w:hanging="0" w:start="1440" w:end="1980"/>
        <w:rPr>
          <w:b/>
          <w:sz w:val="23"/>
        </w:rPr>
      </w:pPr>
      <w:r>
        <w:rPr/>
        <w:t>Perform credit exposure analysis for numerous client engagements</w:t>
      </w:r>
    </w:p>
    <w:p>
      <w:pPr>
        <w:pStyle w:val="Normal"/>
        <w:widowControl w:val="false"/>
        <w:ind w:start="1440" w:end="1980"/>
        <w:rPr>
          <w:b/>
          <w:sz w:val="23"/>
        </w:rPr>
      </w:pPr>
      <w:r>
        <w:rPr>
          <w:b/>
          <w:sz w:val="23"/>
        </w:rPr>
      </w:r>
    </w:p>
    <w:p>
      <w:pPr>
        <w:pStyle w:val="Normal"/>
        <w:widowControl w:val="false"/>
        <w:rPr/>
      </w:pPr>
      <w:r>
        <w:rPr>
          <w:b/>
          <w:sz w:val="24"/>
        </w:rPr>
        <w:t>Skills</w:t>
        <w:tab/>
        <w:tab/>
      </w:r>
      <w:r>
        <w:rPr/>
        <w:t xml:space="preserve">Proficient use of Retail Gas System, Altra Gas System, Microsoft Excel, Access, PowerPoint </w:t>
      </w:r>
    </w:p>
    <w:p>
      <w:pPr>
        <w:pStyle w:val="Normal"/>
        <w:widowControl w:val="false"/>
        <w:ind w:start="1440" w:end="0"/>
        <w:rPr/>
      </w:pPr>
      <w:r>
        <w:rPr/>
        <w:t>and various on-line sources</w:t>
      </w:r>
    </w:p>
    <w:p>
      <w:pPr>
        <w:pStyle w:val="Normal"/>
        <w:widowControl w:val="false"/>
        <w:ind w:hanging="1440" w:start="1440" w:end="1980"/>
        <w:rPr/>
      </w:pPr>
      <w:r>
        <w:rPr/>
      </w:r>
    </w:p>
    <w:p>
      <w:pPr>
        <w:pStyle w:val="Normal"/>
        <w:widowControl w:val="false"/>
        <w:tabs>
          <w:tab w:val="clear" w:pos="720"/>
          <w:tab w:val="left" w:pos="0" w:leader="none"/>
        </w:tabs>
        <w:ind w:hanging="720" w:start="720" w:end="1980"/>
        <w:rPr/>
      </w:pPr>
      <w:r>
        <w:rPr/>
      </w:r>
    </w:p>
    <w:sectPr>
      <w:headerReference w:type="default" r:id="rId2"/>
      <w:footerReference w:type="default" r:id="rId3"/>
      <w:type w:val="nextPage"/>
      <w:pgSz w:w="12240" w:h="15840"/>
      <w:pgMar w:left="720" w:right="0" w:gutter="0" w:header="115" w:top="432" w:footer="1081" w:bottom="113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ourier New">
    <w:charset w:val="00" w:characterSet="windows-1252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widowControl w:val="false"/>
      <w:tabs>
        <w:tab w:val="clear" w:pos="720"/>
        <w:tab w:val="center" w:pos="4320" w:leader="none"/>
        <w:tab w:val="right" w:pos="8640" w:leader="none"/>
      </w:tabs>
      <w:rPr>
        <w:sz w:val="24"/>
      </w:rPr>
    </w:pPr>
    <w:r>
      <w:rPr>
        <w:sz w:val="24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widowControl w:val="false"/>
      <w:tabs>
        <w:tab w:val="clear" w:pos="720"/>
        <w:tab w:val="center" w:pos="4320" w:leader="none"/>
        <w:tab w:val="right" w:pos="8640" w:leader="none"/>
      </w:tabs>
      <w:rPr>
        <w:sz w:val="24"/>
      </w:rPr>
    </w:pPr>
    <w:r>
      <w:rPr>
        <w:sz w:val="24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pStyle w:val="Heading7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0"/>
        </w:tabs>
        <w:ind w:start="0" w:hanging="0"/>
      </w:pPr>
      <w:rPr>
        <w:rFonts w:ascii="Symbol" w:hAnsi="Symbol" w:cs="Symbol" w:hint="default"/>
        <w:sz w:val="18"/>
      </w:r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0"/>
        </w:tabs>
        <w:ind w:start="0" w:hanging="0"/>
      </w:pPr>
      <w:rPr>
        <w:rFonts w:ascii="Symbol" w:hAnsi="Symbol" w:cs="Symbol" w:hint="default"/>
        <w:sz w:val="18"/>
      </w:rPr>
    </w:lvl>
  </w:abstractNum>
  <w:abstractNum w:abstractNumId="4">
    <w:lvl w:ilvl="0">
      <w:numFmt w:val="bullet"/>
      <w:lvlText w:val=""/>
      <w:lvlJc w:val="start"/>
      <w:pPr>
        <w:tabs>
          <w:tab w:val="num" w:pos="360"/>
        </w:tabs>
        <w:ind w:start="0" w:hanging="0"/>
      </w:pPr>
      <w:rPr>
        <w:rFonts w:ascii="Symbol" w:hAnsi="Symbol" w:cs="Symbol" w:hint="default"/>
        <w:sz w:val="18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widowControl w:val="false"/>
      <w:numPr>
        <w:ilvl w:val="0"/>
        <w:numId w:val="1"/>
      </w:numPr>
      <w:ind w:firstLine="720" w:start="720" w:end="0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 w:val="true"/>
      <w:widowControl w:val="false"/>
      <w:numPr>
        <w:ilvl w:val="1"/>
        <w:numId w:val="1"/>
      </w:numPr>
      <w:ind w:firstLine="720" w:start="720" w:end="0"/>
      <w:outlineLvl w:val="1"/>
    </w:pPr>
    <w:rPr>
      <w:i/>
    </w:rPr>
  </w:style>
  <w:style w:type="paragraph" w:styleId="Heading3">
    <w:name w:val="heading 3"/>
    <w:basedOn w:val="Normal"/>
    <w:next w:val="Normal"/>
    <w:qFormat/>
    <w:pPr>
      <w:keepNext w:val="true"/>
      <w:widowControl w:val="false"/>
      <w:numPr>
        <w:ilvl w:val="2"/>
        <w:numId w:val="1"/>
      </w:numPr>
      <w:ind w:hanging="0" w:start="3060" w:end="-288"/>
      <w:outlineLvl w:val="2"/>
    </w:pPr>
    <w:rPr>
      <w:rFonts w:ascii="Arial" w:hAnsi="Arial" w:cs="Arial"/>
      <w:sz w:val="56"/>
    </w:rPr>
  </w:style>
  <w:style w:type="paragraph" w:styleId="Heading4">
    <w:name w:val="heading 4"/>
    <w:basedOn w:val="Normal"/>
    <w:next w:val="Normal"/>
    <w:qFormat/>
    <w:pPr>
      <w:keepNext w:val="true"/>
      <w:widowControl w:val="false"/>
      <w:numPr>
        <w:ilvl w:val="3"/>
        <w:numId w:val="1"/>
      </w:numPr>
      <w:tabs>
        <w:tab w:val="clear" w:pos="720"/>
        <w:tab w:val="left" w:pos="1440" w:leader="none"/>
      </w:tabs>
      <w:outlineLvl w:val="3"/>
    </w:pPr>
    <w:rPr>
      <w:i/>
    </w:rPr>
  </w:style>
  <w:style w:type="paragraph" w:styleId="Heading5">
    <w:name w:val="heading 5"/>
    <w:basedOn w:val="Normal"/>
    <w:next w:val="Normal"/>
    <w:qFormat/>
    <w:pPr>
      <w:keepNext w:val="true"/>
      <w:widowControl w:val="false"/>
      <w:numPr>
        <w:ilvl w:val="4"/>
        <w:numId w:val="1"/>
      </w:numPr>
      <w:ind w:hanging="0" w:start="1440" w:end="1980"/>
      <w:outlineLvl w:val="4"/>
    </w:pPr>
    <w:rPr>
      <w:i/>
    </w:rPr>
  </w:style>
  <w:style w:type="paragraph" w:styleId="Heading6">
    <w:name w:val="heading 6"/>
    <w:basedOn w:val="Normal"/>
    <w:next w:val="Normal"/>
    <w:qFormat/>
    <w:pPr>
      <w:keepNext w:val="true"/>
      <w:numPr>
        <w:ilvl w:val="5"/>
        <w:numId w:val="1"/>
      </w:numPr>
      <w:ind w:hanging="450" w:start="1890" w:end="0"/>
      <w:outlineLvl w:val="5"/>
    </w:pPr>
    <w:rPr>
      <w:i/>
    </w:rPr>
  </w:style>
  <w:style w:type="paragraph" w:styleId="Heading7">
    <w:name w:val="heading 7"/>
    <w:basedOn w:val="Normal"/>
    <w:next w:val="Normal"/>
    <w:qFormat/>
    <w:pPr>
      <w:keepNext w:val="true"/>
      <w:widowControl w:val="false"/>
      <w:numPr>
        <w:ilvl w:val="6"/>
        <w:numId w:val="1"/>
      </w:numPr>
      <w:ind w:hanging="0" w:start="1440" w:end="0"/>
      <w:outlineLvl w:val="6"/>
    </w:pPr>
    <w:rPr>
      <w:i/>
    </w:rPr>
  </w:style>
  <w:style w:type="character" w:styleId="WW8Num2z0">
    <w:name w:val="WW8Num2z0"/>
    <w:qFormat/>
    <w:rPr>
      <w:rFonts w:ascii="Symbol" w:hAnsi="Symbol" w:cs="Symbol"/>
      <w:color w:val="auto"/>
    </w:rPr>
  </w:style>
  <w:style w:type="character" w:styleId="WW8Num3z0">
    <w:name w:val="WW8Num3z0"/>
    <w:qFormat/>
    <w:rPr>
      <w:rFonts w:ascii="Symbol" w:hAnsi="Symbol" w:cs="Symbol"/>
      <w:sz w:val="18"/>
    </w:rPr>
  </w:style>
  <w:style w:type="character" w:styleId="WW8Num4z0">
    <w:name w:val="WW8Num4z0"/>
    <w:qFormat/>
    <w:rPr/>
  </w:style>
  <w:style w:type="character" w:styleId="WW8Num5z0">
    <w:name w:val="WW8Num5z0"/>
    <w:qFormat/>
    <w:rPr>
      <w:rFonts w:ascii="Symbol" w:hAnsi="Symbol" w:cs="Symbol"/>
    </w:rPr>
  </w:style>
  <w:style w:type="character" w:styleId="WW8Num6z0">
    <w:name w:val="WW8Num6z0"/>
    <w:qFormat/>
    <w:rPr>
      <w:rFonts w:ascii="Symbol" w:hAnsi="Symbol" w:cs="Symbol"/>
      <w:sz w:val="18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6z3">
    <w:name w:val="WW8Num6z3"/>
    <w:qFormat/>
    <w:rPr>
      <w:rFonts w:ascii="Symbol" w:hAnsi="Symbol" w:cs="Symbol"/>
    </w:rPr>
  </w:style>
  <w:style w:type="character" w:styleId="WW8Num7z0">
    <w:name w:val="WW8Num7z0"/>
    <w:qFormat/>
    <w:rPr>
      <w:rFonts w:ascii="Symbol" w:hAnsi="Symbol" w:cs="Symbol"/>
    </w:rPr>
  </w:style>
  <w:style w:type="character" w:styleId="WW8Num8z0">
    <w:name w:val="WW8Num8z0"/>
    <w:qFormat/>
    <w:rPr>
      <w:rFonts w:ascii="Symbol" w:hAnsi="Symbol" w:cs="Symbol"/>
      <w:sz w:val="18"/>
    </w:rPr>
  </w:style>
  <w:style w:type="character" w:styleId="WW8Num9z0">
    <w:name w:val="WW8Num9z0"/>
    <w:qFormat/>
    <w:rPr>
      <w:rFonts w:ascii="Symbol" w:hAnsi="Symbol" w:cs="Symbol"/>
      <w:sz w:val="18"/>
    </w:rPr>
  </w:style>
  <w:style w:type="character" w:styleId="WW8Num10z0">
    <w:name w:val="WW8Num10z0"/>
    <w:qFormat/>
    <w:rPr>
      <w:rFonts w:ascii="Symbol" w:hAnsi="Symbol" w:cs="Symbol"/>
    </w:rPr>
  </w:style>
  <w:style w:type="character" w:styleId="WW8Num11z0">
    <w:name w:val="WW8Num11z0"/>
    <w:qFormat/>
    <w:rPr>
      <w:rFonts w:ascii="Symbol" w:hAnsi="Symbol" w:cs="Symbol"/>
      <w:sz w:val="18"/>
    </w:rPr>
  </w:style>
  <w:style w:type="character" w:styleId="WW8Num12z0">
    <w:name w:val="WW8Num12z0"/>
    <w:qFormat/>
    <w:rPr>
      <w:rFonts w:ascii="Symbol" w:hAnsi="Symbol" w:cs="Symbol"/>
      <w:sz w:val="18"/>
    </w:rPr>
  </w:style>
  <w:style w:type="character" w:styleId="WW8Num13z0">
    <w:name w:val="WW8Num13z0"/>
    <w:qFormat/>
    <w:rPr>
      <w:rFonts w:ascii="Symbol" w:hAnsi="Symbol" w:cs="Symbol"/>
      <w:sz w:val="18"/>
    </w:rPr>
  </w:style>
  <w:style w:type="character" w:styleId="WW8Num13z1">
    <w:name w:val="WW8Num13z1"/>
    <w:qFormat/>
    <w:rPr>
      <w:rFonts w:ascii="Courier New" w:hAnsi="Courier New" w:cs="Courier New"/>
    </w:rPr>
  </w:style>
  <w:style w:type="character" w:styleId="WW8Num13z2">
    <w:name w:val="WW8Num13z2"/>
    <w:qFormat/>
    <w:rPr>
      <w:rFonts w:ascii="Wingdings" w:hAnsi="Wingdings" w:cs="Wingdings"/>
    </w:rPr>
  </w:style>
  <w:style w:type="character" w:styleId="WW8Num13z3">
    <w:name w:val="WW8Num13z3"/>
    <w:qFormat/>
    <w:rPr>
      <w:rFonts w:ascii="Symbol" w:hAnsi="Symbol" w:cs="Symbol"/>
    </w:rPr>
  </w:style>
  <w:style w:type="character" w:styleId="WW8Num14z0">
    <w:name w:val="WW8Num14z0"/>
    <w:qFormat/>
    <w:rPr>
      <w:rFonts w:ascii="Symbol" w:hAnsi="Symbol" w:cs="Symbol"/>
      <w:sz w:val="18"/>
    </w:rPr>
  </w:style>
  <w:style w:type="character" w:styleId="WW8Num15z0">
    <w:name w:val="WW8Num15z0"/>
    <w:qFormat/>
    <w:rPr>
      <w:rFonts w:ascii="Symbol" w:hAnsi="Symbol" w:cs="Symbol"/>
      <w:sz w:val="18"/>
    </w:rPr>
  </w:style>
  <w:style w:type="character" w:styleId="WW8Num15z1">
    <w:name w:val="WW8Num15z1"/>
    <w:qFormat/>
    <w:rPr>
      <w:rFonts w:ascii="Courier New" w:hAnsi="Courier New" w:cs="Courier New"/>
    </w:rPr>
  </w:style>
  <w:style w:type="character" w:styleId="WW8Num15z2">
    <w:name w:val="WW8Num15z2"/>
    <w:qFormat/>
    <w:rPr>
      <w:rFonts w:ascii="Wingdings" w:hAnsi="Wingdings" w:cs="Wingdings"/>
    </w:rPr>
  </w:style>
  <w:style w:type="character" w:styleId="WW8Num15z3">
    <w:name w:val="WW8Num15z3"/>
    <w:qFormat/>
    <w:rPr>
      <w:rFonts w:ascii="Symbol" w:hAnsi="Symbol" w:cs="Symbol"/>
    </w:rPr>
  </w:style>
  <w:style w:type="character" w:styleId="WW8Num16z0">
    <w:name w:val="WW8Num16z0"/>
    <w:qFormat/>
    <w:rPr>
      <w:rFonts w:ascii="Symbol" w:hAnsi="Symbol" w:cs="Symbol"/>
    </w:rPr>
  </w:style>
  <w:style w:type="character" w:styleId="WW8Num17z0">
    <w:name w:val="WW8Num17z0"/>
    <w:qFormat/>
    <w:rPr>
      <w:rFonts w:ascii="Symbol" w:hAnsi="Symbol" w:cs="Symbol"/>
      <w:sz w:val="18"/>
    </w:rPr>
  </w:style>
  <w:style w:type="character" w:styleId="WW8Num17z1">
    <w:name w:val="WW8Num17z1"/>
    <w:qFormat/>
    <w:rPr>
      <w:rFonts w:ascii="Courier New" w:hAnsi="Courier New" w:cs="Courier New"/>
    </w:rPr>
  </w:style>
  <w:style w:type="character" w:styleId="WW8Num17z2">
    <w:name w:val="WW8Num17z2"/>
    <w:qFormat/>
    <w:rPr>
      <w:rFonts w:ascii="Wingdings" w:hAnsi="Wingdings" w:cs="Wingdings"/>
    </w:rPr>
  </w:style>
  <w:style w:type="character" w:styleId="WW8Num17z3">
    <w:name w:val="WW8Num17z3"/>
    <w:qFormat/>
    <w:rPr>
      <w:rFonts w:ascii="Symbol" w:hAnsi="Symbol" w:cs="Symbol"/>
    </w:rPr>
  </w:style>
  <w:style w:type="character" w:styleId="WW8Num18z0">
    <w:name w:val="WW8Num18z0"/>
    <w:qFormat/>
    <w:rPr>
      <w:rFonts w:ascii="Symbol" w:hAnsi="Symbol" w:cs="Symbol"/>
    </w:rPr>
  </w:style>
  <w:style w:type="character" w:styleId="WW8Num19z0">
    <w:name w:val="WW8Num19z0"/>
    <w:qFormat/>
    <w:rPr>
      <w:rFonts w:ascii="Symbol" w:hAnsi="Symbol" w:cs="Symbol"/>
      <w:color w:val="auto"/>
    </w:rPr>
  </w:style>
  <w:style w:type="character" w:styleId="WW8Num20z0">
    <w:name w:val="WW8Num20z0"/>
    <w:qFormat/>
    <w:rPr>
      <w:rFonts w:ascii="Symbol" w:hAnsi="Symbol" w:cs="Symbol"/>
      <w:sz w:val="18"/>
    </w:rPr>
  </w:style>
  <w:style w:type="character" w:styleId="WW8Num21z0">
    <w:name w:val="WW8Num21z0"/>
    <w:qFormat/>
    <w:rPr>
      <w:rFonts w:ascii="Symbol" w:hAnsi="Symbol" w:cs="Symbol"/>
    </w:rPr>
  </w:style>
  <w:style w:type="character" w:styleId="WW8Num22z0">
    <w:name w:val="WW8Num22z0"/>
    <w:qFormat/>
    <w:rPr>
      <w:rFonts w:ascii="Symbol" w:hAnsi="Symbol" w:cs="Symbol"/>
      <w:sz w:val="18"/>
    </w:rPr>
  </w:style>
  <w:style w:type="character" w:styleId="WW8Num23z0">
    <w:name w:val="WW8Num23z0"/>
    <w:qFormat/>
    <w:rPr>
      <w:rFonts w:ascii="Symbol" w:hAnsi="Symbol" w:cs="Symbol"/>
      <w:sz w:val="18"/>
    </w:rPr>
  </w:style>
  <w:style w:type="character" w:styleId="WW8Num24z0">
    <w:name w:val="WW8Num24z0"/>
    <w:qFormat/>
    <w:rPr>
      <w:rFonts w:ascii="Symbol" w:hAnsi="Symbol" w:cs="Symbol"/>
      <w:color w:val="auto"/>
    </w:rPr>
  </w:style>
  <w:style w:type="character" w:styleId="WW8Num25z0">
    <w:name w:val="WW8Num25z0"/>
    <w:qFormat/>
    <w:rPr>
      <w:rFonts w:ascii="Symbol" w:hAnsi="Symbol" w:cs="Symbol"/>
      <w:sz w:val="18"/>
    </w:rPr>
  </w:style>
  <w:style w:type="character" w:styleId="WW8Num26z0">
    <w:name w:val="WW8Num26z0"/>
    <w:qFormat/>
    <w:rPr>
      <w:rFonts w:ascii="Symbol" w:hAnsi="Symbol" w:cs="Symbol"/>
      <w:sz w:val="18"/>
    </w:rPr>
  </w:style>
  <w:style w:type="character" w:styleId="WW8Num27z0">
    <w:name w:val="WW8Num27z0"/>
    <w:qFormat/>
    <w:rPr>
      <w:rFonts w:ascii="Symbol" w:hAnsi="Symbol" w:cs="Symbol"/>
    </w:rPr>
  </w:style>
  <w:style w:type="character" w:styleId="WW8Num28z0">
    <w:name w:val="WW8Num28z0"/>
    <w:qFormat/>
    <w:rPr>
      <w:rFonts w:ascii="Symbol" w:hAnsi="Symbol" w:cs="Symbol"/>
      <w:color w:val="auto"/>
    </w:rPr>
  </w:style>
  <w:style w:type="character" w:styleId="WW8Num29z0">
    <w:name w:val="WW8Num29z0"/>
    <w:qFormat/>
    <w:rPr>
      <w:rFonts w:ascii="Symbol" w:hAnsi="Symbol" w:cs="Symbol"/>
      <w:sz w:val="18"/>
    </w:rPr>
  </w:style>
  <w:style w:type="character" w:styleId="WW8Num30z0">
    <w:name w:val="WW8Num30z0"/>
    <w:qFormat/>
    <w:rPr>
      <w:rFonts w:ascii="Symbol" w:hAnsi="Symbol" w:cs="Symbol"/>
    </w:rPr>
  </w:style>
  <w:style w:type="character" w:styleId="WW8Num30z1">
    <w:name w:val="WW8Num30z1"/>
    <w:qFormat/>
    <w:rPr>
      <w:rFonts w:ascii="Courier New" w:hAnsi="Courier New" w:cs="Courier New"/>
    </w:rPr>
  </w:style>
  <w:style w:type="character" w:styleId="WW8Num30z2">
    <w:name w:val="WW8Num30z2"/>
    <w:qFormat/>
    <w:rPr>
      <w:rFonts w:ascii="Wingdings" w:hAnsi="Wingdings" w:cs="Wingdings"/>
    </w:rPr>
  </w:style>
  <w:style w:type="character" w:styleId="WW8Num31z0">
    <w:name w:val="WW8Num31z0"/>
    <w:qFormat/>
    <w:rPr>
      <w:rFonts w:ascii="Symbol" w:hAnsi="Symbol" w:cs="Symbol"/>
    </w:rPr>
  </w:style>
  <w:style w:type="character" w:styleId="WW8Num32z0">
    <w:name w:val="WW8Num32z0"/>
    <w:qFormat/>
    <w:rPr>
      <w:rFonts w:ascii="Symbol" w:hAnsi="Symbol" w:cs="Symbol"/>
    </w:rPr>
  </w:style>
  <w:style w:type="character" w:styleId="WW8Num33z0">
    <w:name w:val="WW8Num33z0"/>
    <w:qFormat/>
    <w:rPr>
      <w:rFonts w:ascii="Symbol" w:hAnsi="Symbol" w:cs="Symbol"/>
      <w:sz w:val="18"/>
    </w:rPr>
  </w:style>
  <w:style w:type="character" w:styleId="WW8Num33z1">
    <w:name w:val="WW8Num33z1"/>
    <w:qFormat/>
    <w:rPr>
      <w:rFonts w:ascii="Courier New" w:hAnsi="Courier New" w:cs="Courier New"/>
    </w:rPr>
  </w:style>
  <w:style w:type="character" w:styleId="WW8Num33z2">
    <w:name w:val="WW8Num33z2"/>
    <w:qFormat/>
    <w:rPr>
      <w:rFonts w:ascii="Wingdings" w:hAnsi="Wingdings" w:cs="Wingdings"/>
    </w:rPr>
  </w:style>
  <w:style w:type="character" w:styleId="WW8Num33z3">
    <w:name w:val="WW8Num33z3"/>
    <w:qFormat/>
    <w:rPr>
      <w:rFonts w:ascii="Symbol" w:hAnsi="Symbol" w:cs="Symbol"/>
    </w:rPr>
  </w:style>
  <w:style w:type="character" w:styleId="WW8Num34z0">
    <w:name w:val="WW8Num34z0"/>
    <w:qFormat/>
    <w:rPr>
      <w:rFonts w:ascii="Symbol" w:hAnsi="Symbol" w:cs="Symbol"/>
    </w:rPr>
  </w:style>
  <w:style w:type="character" w:styleId="WW8Num35z0">
    <w:name w:val="WW8Num35z0"/>
    <w:qFormat/>
    <w:rPr>
      <w:rFonts w:ascii="Symbol" w:hAnsi="Symbol" w:cs="Symbol"/>
      <w:color w:val="auto"/>
    </w:rPr>
  </w:style>
  <w:style w:type="character" w:styleId="WW8Num36z0">
    <w:name w:val="WW8Num36z0"/>
    <w:qFormat/>
    <w:rPr>
      <w:rFonts w:ascii="Symbol" w:hAnsi="Symbol" w:cs="Symbol"/>
    </w:rPr>
  </w:style>
  <w:style w:type="character" w:styleId="WW8Num37z0">
    <w:name w:val="WW8Num37z0"/>
    <w:qFormat/>
    <w:rPr>
      <w:rFonts w:ascii="Symbol" w:hAnsi="Symbol" w:cs="Symbol"/>
    </w:rPr>
  </w:style>
  <w:style w:type="character" w:styleId="WW8Num38z0">
    <w:name w:val="WW8Num38z0"/>
    <w:qFormat/>
    <w:rPr>
      <w:rFonts w:ascii="Symbol" w:hAnsi="Symbol" w:cs="Symbol"/>
      <w:color w:val="auto"/>
    </w:rPr>
  </w:style>
  <w:style w:type="character" w:styleId="WW8NumSt1z0">
    <w:name w:val="WW8NumSt1z0"/>
    <w:qFormat/>
    <w:rPr>
      <w:rFonts w:ascii="Symbol" w:hAnsi="Symbol" w:cs="Symbol"/>
      <w:sz w:val="18"/>
    </w:rPr>
  </w:style>
  <w:style w:type="character" w:styleId="WW8NumSt1z1">
    <w:name w:val="WW8NumSt1z1"/>
    <w:qFormat/>
    <w:rPr>
      <w:rFonts w:ascii="Courier New" w:hAnsi="Courier New" w:cs="Courier New"/>
    </w:rPr>
  </w:style>
  <w:style w:type="character" w:styleId="WW8NumSt1z2">
    <w:name w:val="WW8NumSt1z2"/>
    <w:qFormat/>
    <w:rPr>
      <w:rFonts w:ascii="Wingdings" w:hAnsi="Wingdings" w:cs="Wingdings"/>
    </w:rPr>
  </w:style>
  <w:style w:type="character" w:styleId="WW8NumSt1z3">
    <w:name w:val="WW8NumSt1z3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jc w:val="both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BodyText2">
    <w:name w:val="Body Text 2"/>
    <w:basedOn w:val="Normal"/>
    <w:qFormat/>
    <w:pPr>
      <w:widowControl w:val="false"/>
    </w:pPr>
    <w:rPr>
      <w:i/>
      <w:sz w:val="19"/>
    </w:rPr>
  </w:style>
  <w:style w:type="paragraph" w:styleId="BlockText">
    <w:name w:val="Block Text"/>
    <w:basedOn w:val="Normal"/>
    <w:qFormat/>
    <w:pPr>
      <w:widowControl w:val="false"/>
      <w:ind w:hanging="0" w:start="1440" w:end="1800"/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  <w:style w:type="numbering" w:styleId="WW8Num24">
    <w:name w:val="WW8Num24"/>
    <w:qFormat/>
  </w:style>
  <w:style w:type="numbering" w:styleId="WW8Num25">
    <w:name w:val="WW8Num25"/>
    <w:qFormat/>
  </w:style>
  <w:style w:type="numbering" w:styleId="WW8Num26">
    <w:name w:val="WW8Num26"/>
    <w:qFormat/>
  </w:style>
  <w:style w:type="numbering" w:styleId="WW8Num27">
    <w:name w:val="WW8Num27"/>
    <w:qFormat/>
  </w:style>
  <w:style w:type="numbering" w:styleId="WW8Num28">
    <w:name w:val="WW8Num28"/>
    <w:qFormat/>
  </w:style>
  <w:style w:type="numbering" w:styleId="WW8Num29">
    <w:name w:val="WW8Num29"/>
    <w:qFormat/>
  </w:style>
  <w:style w:type="numbering" w:styleId="WW8Num30">
    <w:name w:val="WW8Num30"/>
    <w:qFormat/>
  </w:style>
  <w:style w:type="numbering" w:styleId="WW8Num31">
    <w:name w:val="WW8Num31"/>
    <w:qFormat/>
  </w:style>
  <w:style w:type="numbering" w:styleId="WW8Num32">
    <w:name w:val="WW8Num32"/>
    <w:qFormat/>
  </w:style>
  <w:style w:type="numbering" w:styleId="WW8Num33">
    <w:name w:val="WW8Num33"/>
    <w:qFormat/>
  </w:style>
  <w:style w:type="numbering" w:styleId="WW8Num34">
    <w:name w:val="WW8Num34"/>
    <w:qFormat/>
  </w:style>
  <w:style w:type="numbering" w:styleId="WW8Num35">
    <w:name w:val="WW8Num35"/>
    <w:qFormat/>
  </w:style>
  <w:style w:type="numbering" w:styleId="WW8Num36">
    <w:name w:val="WW8Num36"/>
    <w:qFormat/>
  </w:style>
  <w:style w:type="numbering" w:styleId="WW8Num37">
    <w:name w:val="WW8Num37"/>
    <w:qFormat/>
  </w:style>
  <w:style w:type="numbering" w:styleId="WW8Num38">
    <w:name w:val="WW8Num38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2001-05-09T11:08:00Z</dcterms:created>
  <dc:creator>beachg</dc:creator>
  <dc:description/>
  <cp:keywords>L:\utility\Gentry\gentryresume.wps\</cp:keywords>
  <dc:language>en-CA</dc:language>
  <cp:lastModifiedBy>kbuckley</cp:lastModifiedBy>
  <cp:lastPrinted>2001-01-03T13:46:00Z</cp:lastPrinted>
  <dcterms:modified xsi:type="dcterms:W3CDTF">2001-05-09T11:08:00Z</dcterms:modified>
  <cp:revision>2</cp:revision>
  <dc:subject/>
  <dc:title>            </dc:title>
</cp:coreProperties>
</file>