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24"/>
        </w:rPr>
      </w:pPr>
      <w:r>
        <w:rPr>
          <w:b/>
          <w:color w:val="000000"/>
          <w:sz w:val="24"/>
        </w:rPr>
        <w:t>Chadwick K. Landry</w:t>
      </w:r>
    </w:p>
    <w:p>
      <w:pPr>
        <w:pStyle w:val="Normal"/>
        <w:jc w:val="center"/>
        <w:rPr>
          <w:color w:val="000000"/>
        </w:rPr>
      </w:pPr>
      <w:r>
        <w:rPr>
          <w:color w:val="000000"/>
        </w:rPr>
        <w:t>2301 S. Mopac Apt. 227</w:t>
      </w:r>
    </w:p>
    <w:p>
      <w:pPr>
        <w:pStyle w:val="Normal"/>
        <w:jc w:val="center"/>
        <w:rPr>
          <w:color w:val="000000"/>
        </w:rPr>
      </w:pPr>
      <w:r>
        <w:rPr>
          <w:color w:val="000000"/>
        </w:rPr>
        <w:t>Austin, TX 78746</w:t>
      </w:r>
    </w:p>
    <w:p>
      <w:pPr>
        <w:pStyle w:val="Normal"/>
        <w:jc w:val="center"/>
        <w:rPr>
          <w:color w:val="000000"/>
        </w:rPr>
      </w:pPr>
      <w:r>
        <w:rPr>
          <w:color w:val="000000"/>
        </w:rPr>
        <w:t xml:space="preserve">(512) 344-2306 </w:t>
      </w:r>
    </w:p>
    <w:p>
      <w:pPr>
        <w:pStyle w:val="Normal"/>
        <w:jc w:val="center"/>
        <w:rPr>
          <w:color w:val="000000"/>
        </w:rPr>
      </w:pPr>
      <w:r>
        <w:rPr>
          <w:color w:val="000000"/>
        </w:rPr>
        <w:t xml:space="preserve">E-mail: </w:t>
      </w:r>
      <w:hyperlink r:id="rId2">
        <w:r>
          <w:rPr>
            <w:rStyle w:val="Hyperlink"/>
          </w:rPr>
          <w:t>chad.landry@enron.com</w:t>
        </w:r>
      </w:hyperlink>
    </w:p>
    <w:p>
      <w:pPr>
        <w:pStyle w:val="Normal"/>
        <w:jc w:val="center"/>
        <w:rPr>
          <w:color w:val="000000"/>
          <w:lang w:val="en-CA" w:eastAsia="en-CA"/>
        </w:rPr>
      </w:pPr>
      <w:r>
        <w:rPr>
          <w:color w:val="000000"/>
          <w:lang w:val="en-CA" w:eastAsia="en-CA"/>
        </w:rPr>
        <mc:AlternateContent>
          <mc:Choice Requires="wps">
            <w:drawing>
              <wp:anchor behindDoc="0" distT="0" distB="0" distL="114935" distR="114935" simplePos="0" locked="0" layoutInCell="1" allowOverlap="1" relativeHeight="2">
                <wp:simplePos x="0" y="0"/>
                <wp:positionH relativeFrom="column">
                  <wp:posOffset>-91440</wp:posOffset>
                </wp:positionH>
                <wp:positionV relativeFrom="paragraph">
                  <wp:posOffset>34290</wp:posOffset>
                </wp:positionV>
                <wp:extent cx="7223760" cy="0"/>
                <wp:effectExtent l="0" t="5080" r="0" b="5080"/>
                <wp:wrapNone/>
                <wp:docPr id="1" name=""/>
                <a:graphic xmlns:a="http://schemas.openxmlformats.org/drawingml/2006/main">
                  <a:graphicData uri="http://schemas.microsoft.com/office/word/2010/wordprocessingShape">
                    <wps:wsp>
                      <wps:cNvSpPr/>
                      <wps:spPr>
                        <a:xfrm>
                          <a:off x="0" y="0"/>
                          <a:ext cx="7223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2.7pt" to="561.55pt,2.7pt" stroked="t" o:allowincell="f" style="position:absolute">
                <v:stroke color="black" weight="9360" joinstyle="miter" endcap="flat"/>
                <v:fill o:detectmouseclick="t" on="false"/>
                <w10:wrap type="none"/>
              </v:line>
            </w:pict>
          </mc:Fallback>
        </mc:AlternateContent>
      </w:r>
    </w:p>
    <w:p>
      <w:pPr>
        <w:pStyle w:val="Normal"/>
        <w:rPr/>
      </w:pPr>
      <w:r>
        <w:rPr>
          <w:b/>
        </w:rPr>
        <w:t>EXPERIENCE</w:t>
      </w:r>
      <w:r>
        <w:rPr>
          <w:b/>
          <w:sz w:val="24"/>
        </w:rPr>
        <w:tab/>
        <w:tab/>
      </w:r>
      <w:r>
        <w:rPr>
          <w:b/>
        </w:rPr>
        <w:t>ENRON CORPORATION</w:t>
        <w:tab/>
        <w:tab/>
        <w:tab/>
        <w:tab/>
        <w:tab/>
        <w:tab/>
        <w:tab/>
      </w:r>
      <w:r>
        <w:rPr>
          <w:bCs/>
        </w:rPr>
        <w:t>Austin</w:t>
      </w:r>
      <w:r>
        <w:rPr/>
        <w:t>, TX</w:t>
      </w:r>
    </w:p>
    <w:p>
      <w:pPr>
        <w:pStyle w:val="Normal"/>
        <w:rPr/>
      </w:pPr>
      <w:r>
        <w:rPr/>
        <w:t>01/01 – Present</w:t>
        <w:tab/>
        <w:tab/>
      </w:r>
      <w:r>
        <w:rPr>
          <w:b/>
          <w:bCs/>
          <w:i/>
          <w:iCs/>
        </w:rPr>
        <w:t>Regulatory Affairs Analyst</w:t>
      </w:r>
    </w:p>
    <w:p>
      <w:pPr>
        <w:pStyle w:val="Normal"/>
        <w:ind w:firstLine="720" w:start="1440" w:end="0"/>
        <w:rPr/>
      </w:pPr>
      <w:r>
        <w:rPr/>
        <w:t>Government Affairs</w:t>
      </w:r>
    </w:p>
    <w:p>
      <w:pPr>
        <w:pStyle w:val="Normal"/>
        <w:numPr>
          <w:ilvl w:val="0"/>
          <w:numId w:val="4"/>
        </w:numPr>
        <w:tabs>
          <w:tab w:val="clear" w:pos="720"/>
          <w:tab w:val="left" w:pos="2520" w:leader="none"/>
        </w:tabs>
        <w:ind w:hanging="360" w:start="2520" w:end="0"/>
        <w:rPr/>
      </w:pPr>
      <w:r>
        <w:rPr/>
        <w:t>Monitored Texas legislative efforts to standardize electric industry restructuring</w:t>
      </w:r>
    </w:p>
    <w:p>
      <w:pPr>
        <w:pStyle w:val="Normal"/>
        <w:numPr>
          <w:ilvl w:val="0"/>
          <w:numId w:val="4"/>
        </w:numPr>
        <w:tabs>
          <w:tab w:val="clear" w:pos="720"/>
          <w:tab w:val="left" w:pos="2520" w:leader="none"/>
        </w:tabs>
        <w:ind w:hanging="360" w:start="2520" w:end="0"/>
        <w:rPr/>
      </w:pPr>
      <w:r>
        <w:rPr/>
        <w:t xml:space="preserve">Advocated different regulatory policies before the Public Utility Commission of Texas </w:t>
      </w:r>
    </w:p>
    <w:p>
      <w:pPr>
        <w:pStyle w:val="Normal"/>
        <w:ind w:start="2160" w:end="0"/>
        <w:rPr/>
      </w:pPr>
      <w:r>
        <w:rPr/>
      </w:r>
    </w:p>
    <w:p>
      <w:pPr>
        <w:pStyle w:val="Normal"/>
        <w:ind w:firstLine="720" w:end="0"/>
        <w:rPr/>
      </w:pPr>
      <w:r>
        <w:rPr/>
        <w:tab/>
        <w:tab/>
      </w:r>
      <w:r>
        <w:rPr>
          <w:b/>
          <w:iCs/>
        </w:rPr>
        <w:t>ENRON NORTH AMERICA</w:t>
        <w:tab/>
        <w:tab/>
        <w:tab/>
        <w:tab/>
        <w:tab/>
        <w:tab/>
        <w:tab/>
      </w:r>
      <w:r>
        <w:rPr>
          <w:bCs/>
          <w:iCs/>
        </w:rPr>
        <w:t>Houston, TX</w:t>
      </w:r>
    </w:p>
    <w:p>
      <w:pPr>
        <w:pStyle w:val="Normal"/>
        <w:rPr>
          <w:bCs/>
          <w:iCs/>
        </w:rPr>
      </w:pPr>
      <w:r>
        <w:rPr>
          <w:bCs/>
          <w:iCs/>
        </w:rPr>
        <w:t>01/00 – 12/00</w:t>
      </w:r>
      <w:r>
        <w:rPr>
          <w:b/>
          <w:iCs/>
        </w:rPr>
        <w:tab/>
        <w:tab/>
      </w:r>
      <w:r>
        <w:rPr>
          <w:b/>
          <w:i/>
        </w:rPr>
        <w:t>Financial Analyst</w:t>
        <w:tab/>
        <w:tab/>
        <w:tab/>
        <w:tab/>
        <w:tab/>
        <w:tab/>
        <w:tab/>
        <w:tab/>
      </w:r>
    </w:p>
    <w:p>
      <w:pPr>
        <w:pStyle w:val="Normal"/>
        <w:rPr/>
      </w:pPr>
      <w:r>
        <w:rPr/>
        <w:tab/>
        <w:tab/>
        <w:tab/>
        <w:t>Generation Investments</w:t>
      </w:r>
    </w:p>
    <w:p>
      <w:pPr>
        <w:pStyle w:val="Normal"/>
        <w:numPr>
          <w:ilvl w:val="0"/>
          <w:numId w:val="4"/>
        </w:numPr>
        <w:tabs>
          <w:tab w:val="clear" w:pos="720"/>
          <w:tab w:val="left" w:pos="2520" w:leader="none"/>
        </w:tabs>
        <w:ind w:hanging="360" w:start="2520" w:end="0"/>
        <w:rPr/>
      </w:pPr>
      <w:r>
        <w:rPr/>
        <w:t>Financial Modeling and Analysis of Power Generation Assets for the purpose of Acquisitions, Dispositions, Recapitalizations, and Restructurings within the Enron North America Merchant Investments Portfolio</w:t>
      </w:r>
    </w:p>
    <w:p>
      <w:pPr>
        <w:pStyle w:val="Normal"/>
        <w:numPr>
          <w:ilvl w:val="0"/>
          <w:numId w:val="4"/>
        </w:numPr>
        <w:tabs>
          <w:tab w:val="clear" w:pos="720"/>
          <w:tab w:val="left" w:pos="2520" w:leader="none"/>
        </w:tabs>
        <w:ind w:hanging="360" w:start="2520" w:end="0"/>
        <w:rPr/>
      </w:pPr>
      <w:r>
        <w:rPr/>
        <w:t>Assisted in developing creative transaction structures that balance counter party needs with the financial goals of Enron North America</w:t>
      </w:r>
    </w:p>
    <w:p>
      <w:pPr>
        <w:pStyle w:val="Normal"/>
        <w:numPr>
          <w:ilvl w:val="0"/>
          <w:numId w:val="4"/>
        </w:numPr>
        <w:tabs>
          <w:tab w:val="clear" w:pos="720"/>
          <w:tab w:val="left" w:pos="2520" w:leader="none"/>
        </w:tabs>
        <w:ind w:hanging="360" w:start="2520" w:end="0"/>
        <w:rPr/>
      </w:pPr>
      <w:r>
        <w:rPr/>
        <w:t>Coordinated efforts of internal organizations (tax, finance, underwriting, etc.) to move deals through the internal valuation and approval processes (RAROC)</w:t>
      </w:r>
    </w:p>
    <w:p>
      <w:pPr>
        <w:pStyle w:val="Normal"/>
        <w:numPr>
          <w:ilvl w:val="0"/>
          <w:numId w:val="3"/>
        </w:numPr>
        <w:tabs>
          <w:tab w:val="clear" w:pos="720"/>
          <w:tab w:val="left" w:pos="2520" w:leader="none"/>
        </w:tabs>
        <w:ind w:hanging="360" w:start="2520" w:end="0"/>
        <w:rPr/>
      </w:pPr>
      <w:r>
        <w:rPr/>
        <w:t xml:space="preserve">Developed asset valuation models and performed financial statement analysis </w:t>
      </w:r>
    </w:p>
    <w:p>
      <w:pPr>
        <w:pStyle w:val="Normal"/>
        <w:numPr>
          <w:ilvl w:val="0"/>
          <w:numId w:val="3"/>
        </w:numPr>
        <w:tabs>
          <w:tab w:val="clear" w:pos="720"/>
          <w:tab w:val="left" w:pos="2520" w:leader="none"/>
        </w:tabs>
        <w:ind w:hanging="360" w:start="2520" w:end="0"/>
        <w:rPr/>
      </w:pPr>
      <w:r>
        <w:rPr/>
        <w:t>Performed power market research in identifying global acquisition and investment opportunities</w:t>
      </w:r>
    </w:p>
    <w:p>
      <w:pPr>
        <w:pStyle w:val="Normal"/>
        <w:rPr/>
      </w:pPr>
      <w:r>
        <w:rPr/>
      </w:r>
    </w:p>
    <w:p>
      <w:pPr>
        <w:pStyle w:val="Normal"/>
        <w:ind w:start="2160" w:end="0"/>
        <w:rPr/>
      </w:pPr>
      <w:r>
        <w:rPr>
          <w:b/>
        </w:rPr>
        <w:t>ENRON NORTH AMERICA</w:t>
        <w:tab/>
        <w:tab/>
        <w:tab/>
        <w:tab/>
        <w:tab/>
        <w:tab/>
        <w:tab/>
      </w:r>
      <w:r>
        <w:rPr>
          <w:bCs/>
        </w:rPr>
        <w:t>Houston, TX</w:t>
      </w:r>
    </w:p>
    <w:p>
      <w:pPr>
        <w:pStyle w:val="Normal"/>
        <w:rPr/>
      </w:pPr>
      <w:r>
        <w:rPr/>
        <w:t>01/99 – 12/99</w:t>
        <w:tab/>
      </w:r>
      <w:r>
        <w:rPr>
          <w:b/>
        </w:rPr>
        <w:tab/>
      </w:r>
      <w:r>
        <w:rPr>
          <w:b/>
          <w:i/>
        </w:rPr>
        <w:t>Financial Analyst</w:t>
        <w:tab/>
        <w:tab/>
        <w:tab/>
        <w:tab/>
        <w:tab/>
        <w:tab/>
        <w:tab/>
        <w:tab/>
      </w:r>
    </w:p>
    <w:p>
      <w:pPr>
        <w:pStyle w:val="Normal"/>
        <w:ind w:firstLine="720" w:start="1440" w:end="0"/>
        <w:rPr/>
      </w:pPr>
      <w:r>
        <w:rPr/>
        <w:t>Risk Management and Analytics</w:t>
      </w:r>
    </w:p>
    <w:p>
      <w:pPr>
        <w:pStyle w:val="Normal"/>
        <w:numPr>
          <w:ilvl w:val="0"/>
          <w:numId w:val="4"/>
        </w:numPr>
        <w:tabs>
          <w:tab w:val="clear" w:pos="720"/>
          <w:tab w:val="left" w:pos="2520" w:leader="none"/>
        </w:tabs>
        <w:ind w:hanging="360" w:start="2520" w:end="0"/>
        <w:rPr/>
      </w:pPr>
      <w:r>
        <w:rPr/>
        <w:t>Managed physical and financial risks and estimated earnings for the Central and West  Natural Gas Trading Desks</w:t>
      </w:r>
    </w:p>
    <w:p>
      <w:pPr>
        <w:pStyle w:val="Normal"/>
        <w:numPr>
          <w:ilvl w:val="0"/>
          <w:numId w:val="3"/>
        </w:numPr>
        <w:tabs>
          <w:tab w:val="clear" w:pos="720"/>
          <w:tab w:val="left" w:pos="2520" w:leader="none"/>
        </w:tabs>
        <w:ind w:hanging="360" w:start="2520" w:end="0"/>
        <w:rPr/>
      </w:pPr>
      <w:r>
        <w:rPr/>
        <w:t>Worked with basis option models to value and explain the daily P&amp;L movements of several deals on the desk</w:t>
      </w:r>
    </w:p>
    <w:p>
      <w:pPr>
        <w:pStyle w:val="Normal"/>
        <w:numPr>
          <w:ilvl w:val="0"/>
          <w:numId w:val="3"/>
        </w:numPr>
        <w:tabs>
          <w:tab w:val="clear" w:pos="720"/>
          <w:tab w:val="left" w:pos="2520" w:leader="none"/>
        </w:tabs>
        <w:ind w:hanging="360" w:start="2520" w:end="0"/>
        <w:rPr/>
      </w:pPr>
      <w:r>
        <w:rPr/>
        <w:t>Created new financial books and basis curves to monitor, analyze, and help manage the natural gas portfolios for the West Trading Desk</w:t>
      </w:r>
    </w:p>
    <w:p>
      <w:pPr>
        <w:pStyle w:val="Normal"/>
        <w:numPr>
          <w:ilvl w:val="0"/>
          <w:numId w:val="3"/>
        </w:numPr>
        <w:tabs>
          <w:tab w:val="clear" w:pos="720"/>
          <w:tab w:val="left" w:pos="2520" w:leader="none"/>
        </w:tabs>
        <w:ind w:hanging="360" w:start="2520" w:end="0"/>
        <w:rPr/>
      </w:pPr>
      <w:r>
        <w:rPr/>
        <w:t>Successfully structured several long term deals (6 months to 5 years), which involved origination for the cash traders, time value of money in synthetic storage, and embedded options for the West Desk and/or the counter-party</w:t>
      </w:r>
    </w:p>
    <w:p>
      <w:pPr>
        <w:pStyle w:val="Normal"/>
        <w:rPr>
          <w:b/>
        </w:rPr>
      </w:pPr>
      <w:r>
        <w:rPr>
          <w:b/>
        </w:rPr>
      </w:r>
    </w:p>
    <w:p>
      <w:pPr>
        <w:pStyle w:val="Normal"/>
        <w:rPr/>
      </w:pPr>
      <w:r>
        <w:rPr/>
        <w:t>05/98 – 08/98</w:t>
      </w:r>
      <w:r>
        <w:rPr>
          <w:b/>
          <w:sz w:val="24"/>
        </w:rPr>
        <w:tab/>
        <w:tab/>
      </w:r>
      <w:r>
        <w:rPr>
          <w:b/>
        </w:rPr>
        <w:t>Sunburst</w:t>
      </w:r>
      <w:r>
        <w:rPr>
          <w:b/>
          <w:sz w:val="24"/>
        </w:rPr>
        <w:t xml:space="preserve"> </w:t>
      </w:r>
      <w:r>
        <w:rPr>
          <w:b/>
        </w:rPr>
        <w:t>Hospitality</w:t>
        <w:tab/>
        <w:tab/>
        <w:tab/>
        <w:tab/>
        <w:tab/>
        <w:tab/>
        <w:tab/>
        <w:tab/>
      </w:r>
      <w:r>
        <w:rPr/>
        <w:t>Silver Spring, MD</w:t>
      </w:r>
    </w:p>
    <w:p>
      <w:pPr>
        <w:pStyle w:val="Normal"/>
        <w:rPr/>
      </w:pPr>
      <w:r>
        <w:rPr/>
        <w:tab/>
        <w:tab/>
        <w:tab/>
      </w:r>
      <w:r>
        <w:rPr>
          <w:b/>
          <w:i/>
        </w:rPr>
        <w:t>Summer Analyst</w:t>
      </w:r>
    </w:p>
    <w:p>
      <w:pPr>
        <w:pStyle w:val="Normal"/>
        <w:numPr>
          <w:ilvl w:val="0"/>
          <w:numId w:val="2"/>
        </w:numPr>
        <w:tabs>
          <w:tab w:val="clear" w:pos="720"/>
          <w:tab w:val="left" w:pos="2520" w:leader="none"/>
          <w:tab w:val="left" w:pos="6507" w:leader="none"/>
        </w:tabs>
        <w:ind w:hanging="360" w:start="2520" w:end="0"/>
        <w:rPr/>
      </w:pPr>
      <w:r>
        <w:rPr/>
        <w:t>Ran pro forma models on proposed Main Stay Suites developments across the country</w:t>
      </w:r>
    </w:p>
    <w:p>
      <w:pPr>
        <w:pStyle w:val="Normal"/>
        <w:numPr>
          <w:ilvl w:val="0"/>
          <w:numId w:val="2"/>
        </w:numPr>
        <w:tabs>
          <w:tab w:val="clear" w:pos="720"/>
          <w:tab w:val="left" w:pos="2520" w:leader="none"/>
          <w:tab w:val="left" w:pos="6507" w:leader="none"/>
        </w:tabs>
        <w:ind w:hanging="360" w:start="2520" w:end="0"/>
        <w:rPr>
          <w:b/>
          <w:sz w:val="24"/>
        </w:rPr>
      </w:pPr>
      <w:r>
        <w:rPr/>
        <w:t xml:space="preserve">Conducted internal audits at several of the company’s properties and provided specific recommendation reports for senior executives on the level of controls and the quality of staff met at each hotel </w:t>
      </w:r>
    </w:p>
    <w:p>
      <w:pPr>
        <w:pStyle w:val="Normal"/>
        <w:tabs>
          <w:tab w:val="clear" w:pos="720"/>
          <w:tab w:val="left" w:pos="6507" w:leader="none"/>
        </w:tabs>
        <w:rPr>
          <w:b/>
          <w:sz w:val="24"/>
        </w:rPr>
      </w:pPr>
      <w:r>
        <w:rPr>
          <w:b/>
          <w:sz w:val="24"/>
        </w:rPr>
      </w:r>
    </w:p>
    <w:p>
      <w:pPr>
        <w:pStyle w:val="Normal"/>
        <w:rPr/>
      </w:pPr>
      <w:r>
        <w:rPr/>
        <w:t>07/96 – 08/96</w:t>
      </w:r>
      <w:r>
        <w:rPr>
          <w:b/>
          <w:sz w:val="24"/>
        </w:rPr>
        <w:tab/>
        <w:tab/>
      </w:r>
      <w:r>
        <w:rPr>
          <w:b/>
        </w:rPr>
        <w:t>United States Senate</w:t>
        <w:tab/>
        <w:tab/>
        <w:tab/>
        <w:tab/>
        <w:tab/>
        <w:tab/>
        <w:tab/>
        <w:tab/>
      </w:r>
      <w:r>
        <w:rPr/>
        <w:t>Washington, DC</w:t>
      </w:r>
    </w:p>
    <w:p>
      <w:pPr>
        <w:pStyle w:val="Normal"/>
        <w:rPr/>
      </w:pPr>
      <w:r>
        <w:rPr/>
        <w:tab/>
        <w:tab/>
        <w:tab/>
      </w:r>
      <w:r>
        <w:rPr>
          <w:b/>
          <w:i/>
        </w:rPr>
        <w:t>Summer Intern in the Office of Senator J. Bennett Johnston</w:t>
      </w:r>
    </w:p>
    <w:p>
      <w:pPr>
        <w:pStyle w:val="Normal"/>
        <w:numPr>
          <w:ilvl w:val="0"/>
          <w:numId w:val="2"/>
        </w:numPr>
        <w:tabs>
          <w:tab w:val="clear" w:pos="720"/>
          <w:tab w:val="left" w:pos="2520" w:leader="none"/>
          <w:tab w:val="left" w:pos="6507" w:leader="none"/>
        </w:tabs>
        <w:ind w:hanging="360" w:start="2520" w:end="0"/>
        <w:rPr/>
      </w:pPr>
      <w:r>
        <w:rPr/>
        <w:t xml:space="preserve">Assisted the Senator’s press secretary in the composition and distribution of press releases. </w:t>
      </w:r>
    </w:p>
    <w:p>
      <w:pPr>
        <w:pStyle w:val="Normal"/>
        <w:numPr>
          <w:ilvl w:val="0"/>
          <w:numId w:val="2"/>
        </w:numPr>
        <w:tabs>
          <w:tab w:val="clear" w:pos="720"/>
          <w:tab w:val="left" w:pos="2520" w:leader="none"/>
          <w:tab w:val="left" w:pos="6507" w:leader="none"/>
        </w:tabs>
        <w:ind w:hanging="360" w:start="2520" w:end="0"/>
        <w:rPr>
          <w:b/>
          <w:sz w:val="24"/>
        </w:rPr>
      </w:pP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261620</wp:posOffset>
                </wp:positionV>
                <wp:extent cx="0" cy="0"/>
                <wp:effectExtent l="5080" t="5080" r="5080" b="5080"/>
                <wp:wrapNone/>
                <wp:docPr id="2"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0.6pt" to="0pt,20.6pt" stroked="t" o:allowincell="f" style="position:absolute">
                <v:stroke color="black" weight="9360" joinstyle="miter" endcap="flat"/>
                <v:fill o:detectmouseclick="t" on="false"/>
                <w10:wrap type="none"/>
              </v:line>
            </w:pict>
          </mc:Fallback>
        </mc:AlternateContent>
      </w:r>
      <w:r>
        <w:rPr/>
        <w:t>Researched energy bills for the Senator’s legal assistants and aides, prepared a briefing report on the energy crisis in China</w:t>
      </w:r>
    </w:p>
    <w:p>
      <w:pPr>
        <w:pStyle w:val="Normal"/>
        <w:tabs>
          <w:tab w:val="clear" w:pos="720"/>
          <w:tab w:val="left" w:pos="6507" w:leader="none"/>
        </w:tabs>
        <w:rPr>
          <w:b/>
          <w:sz w:val="24"/>
          <w:lang w:val="en-CA" w:eastAsia="en-CA"/>
        </w:rPr>
      </w:pPr>
      <w:r>
        <w:rPr>
          <w:b/>
          <w:sz w:val="24"/>
          <w:lang w:val="en-CA" w:eastAsia="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42545</wp:posOffset>
                </wp:positionV>
                <wp:extent cx="0" cy="0"/>
                <wp:effectExtent l="5080" t="5080" r="5080" b="5080"/>
                <wp:wrapNone/>
                <wp:docPr id="3"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35pt" to="0pt,3.35pt" stroked="t" o:allowincell="f" style="position:absolute">
                <v:stroke color="black" weight="9360" joinstyle="miter" endcap="flat"/>
                <v:fill o:detectmouseclick="t" on="false"/>
                <w10:wrap type="none"/>
              </v:line>
            </w:pict>
          </mc:Fallback>
        </mc:AlternateContent>
      </w:r>
    </w:p>
    <w:p>
      <w:pPr>
        <w:pStyle w:val="Normal"/>
        <w:rPr/>
      </w:pPr>
      <w:r>
        <w:rPr>
          <w:b/>
        </w:rPr>
        <w:t>EDUCATION</w:t>
        <w:tab/>
        <w:tab/>
        <w:t>Louisiana State University</w:t>
      </w:r>
      <w:r>
        <w:rPr/>
        <w:tab/>
        <w:tab/>
        <w:tab/>
        <w:tab/>
        <w:tab/>
        <w:tab/>
        <w:tab/>
        <w:t xml:space="preserve">Baton Rouge, LA </w:t>
      </w:r>
    </w:p>
    <w:p>
      <w:pPr>
        <w:pStyle w:val="Normal"/>
        <w:rPr/>
      </w:pPr>
      <w:r>
        <w:rPr/>
        <w:tab/>
        <w:tab/>
        <w:tab/>
        <w:t>Bachelor of Science in Finance, December 1998</w:t>
      </w:r>
    </w:p>
    <w:p>
      <w:pPr>
        <w:pStyle w:val="Normal"/>
        <w:ind w:firstLine="720" w:start="1440" w:end="0"/>
        <w:rPr/>
      </w:pPr>
      <w:r>
        <w:rPr/>
        <w:t>GPA Overall: 3.42</w:t>
      </w:r>
    </w:p>
    <w:p>
      <w:pPr>
        <w:pStyle w:val="Heading2"/>
        <w:ind w:hanging="0" w:start="0"/>
        <w:rPr>
          <w:sz w:val="20"/>
        </w:rPr>
      </w:pPr>
      <w:r>
        <w:rPr>
          <w:sz w:val="20"/>
        </w:rPr>
      </w:r>
    </w:p>
    <w:p>
      <w:pPr>
        <w:pStyle w:val="Heading2"/>
        <w:ind w:hanging="0" w:start="0"/>
        <w:rPr/>
      </w:pPr>
      <w:r>
        <w:rPr>
          <w:sz w:val="20"/>
        </w:rPr>
        <w:t>SKILLS</w:t>
      </w:r>
      <w:r>
        <w:rPr/>
        <w:tab/>
        <w:tab/>
        <w:t>*</w:t>
      </w:r>
      <w:r>
        <w:rPr>
          <w:b w:val="false"/>
          <w:sz w:val="20"/>
        </w:rPr>
        <w:t>Extensive Exposure to physical and financial derivatives as well as Mark to Market Accounting.</w:t>
      </w:r>
    </w:p>
    <w:p>
      <w:pPr>
        <w:pStyle w:val="Heading"/>
        <w:ind w:start="2160" w:end="0"/>
        <w:jc w:val="start"/>
        <w:rPr>
          <w:b w:val="false"/>
          <w:sz w:val="20"/>
        </w:rPr>
      </w:pPr>
      <w:r>
        <w:rPr>
          <w:b w:val="false"/>
          <w:sz w:val="20"/>
        </w:rPr>
        <w:t>*Attended various courses including Derivatives I &amp; II, VBA I &amp; II, and financial statement analysis</w:t>
      </w:r>
    </w:p>
    <w:p>
      <w:pPr>
        <w:pStyle w:val="Heading1"/>
        <w:ind w:hanging="2160" w:start="2160" w:end="0"/>
        <w:rPr>
          <w:b/>
          <w:sz w:val="20"/>
        </w:rPr>
      </w:pPr>
      <w:r>
        <w:rPr>
          <w:b/>
          <w:sz w:val="20"/>
        </w:rPr>
      </w:r>
    </w:p>
    <w:p>
      <w:pPr>
        <w:pStyle w:val="Heading1"/>
        <w:ind w:hanging="2160" w:start="2160" w:end="0"/>
        <w:rPr/>
      </w:pPr>
      <w:r>
        <w:rPr>
          <w:b/>
          <w:sz w:val="20"/>
        </w:rPr>
        <w:t>ORGANIZATIONS</w:t>
      </w:r>
      <w:r>
        <w:rPr>
          <w:sz w:val="20"/>
        </w:rPr>
        <w:tab/>
        <w:t>MD Anderson Volunteer Services, United Way Contributor, Member of Phi Gamma Delta Fraternity</w:t>
      </w:r>
    </w:p>
    <w:p>
      <w:pPr>
        <w:pStyle w:val="Normal"/>
        <w:rPr>
          <w:b/>
        </w:rPr>
      </w:pPr>
      <w:r>
        <w:rPr>
          <w:b/>
        </w:rPr>
        <w:tab/>
      </w:r>
    </w:p>
    <w:p>
      <w:pPr>
        <w:pStyle w:val="Normal"/>
        <w:rPr/>
      </w:pPr>
      <w:r>
        <w:rPr/>
        <w:tab/>
        <w:tab/>
        <w:tab/>
      </w:r>
    </w:p>
    <w:p>
      <w:pPr>
        <w:pStyle w:val="Normal"/>
        <w:rPr>
          <w:sz w:val="24"/>
        </w:rPr>
      </w:pPr>
      <w:r>
        <w:rPr>
          <w:sz w:val="24"/>
        </w:rPr>
      </w:r>
    </w:p>
    <w:p>
      <w:pPr>
        <w:pStyle w:val="Normal"/>
        <w:rPr>
          <w:sz w:val="24"/>
        </w:rPr>
      </w:pPr>
      <w:r>
        <w:rPr>
          <w:sz w:val="24"/>
        </w:rPr>
        <w:tab/>
        <w:tab/>
        <w:tab/>
      </w:r>
    </w:p>
    <w:p>
      <w:pPr>
        <w:pStyle w:val="Normal"/>
        <w:rPr>
          <w:sz w:val="24"/>
        </w:rPr>
      </w:pPr>
      <w:r>
        <w:rPr>
          <w:sz w:val="24"/>
        </w:rPr>
        <w:tab/>
        <w:tab/>
        <w:tab/>
      </w:r>
    </w:p>
    <w:sectPr>
      <w:type w:val="nextPage"/>
      <w:pgSz w:w="12240" w:h="15840"/>
      <w:pgMar w:left="576" w:right="576" w:gutter="0" w:header="0" w:top="864"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4z0">
    <w:name w:val="WW8Num14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BodyTextIndent">
    <w:name w:val="Body Text Indent"/>
    <w:basedOn w:val="Normal"/>
    <w:pPr>
      <w:ind w:hanging="0" w:start="216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andry@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2001-05-09T11:09:00Z</dcterms:created>
  <dc:creator>Tim Blanchard</dc:creator>
  <dc:description/>
  <dc:language>en-CA</dc:language>
  <cp:lastModifiedBy>kbuckley</cp:lastModifiedBy>
  <cp:lastPrinted>2001-04-17T10:42:00Z</cp:lastPrinted>
  <dcterms:modified xsi:type="dcterms:W3CDTF">2001-05-09T11:09:00Z</dcterms:modified>
  <cp:revision>2</cp:revision>
  <dc:subject/>
  <dc:title>TIMOTHY E</dc:title>
</cp:coreProperties>
</file>