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240" w:after="60"/>
        <w:jc w:val="start"/>
        <w:rPr/>
      </w:pPr>
      <w:r>
        <w:rPr/>
        <w:t>RESOLUTION</w:t>
        <w:tab/>
        <w:tab/>
      </w:r>
    </w:p>
    <w:p>
      <w:pPr>
        <w:pStyle w:val="Normal"/>
        <w:rPr/>
      </w:pPr>
      <w:r>
        <w:rPr/>
        <w:t>The Tolls Task Force agrees to the corrections to Section 5.1 of the FT Toll Schedule as set out on the Attached.</w:t>
      </w:r>
    </w:p>
    <w:p>
      <w:pPr>
        <w:pStyle w:val="Header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80"/>
        <w:jc w:val="start"/>
        <w:rPr>
          <w:sz w:val="14"/>
        </w:rPr>
      </w:pPr>
      <w:r>
        <w:rPr>
          <w:sz w:val="14"/>
          <w:u w:val="single"/>
        </w:rPr>
        <w:tab/>
        <w:tab/>
        <w:tab/>
        <w:tab/>
        <w:tab/>
        <w:tab/>
        <w:tab/>
        <w:tab/>
        <w:tab/>
        <w:tab/>
        <w:tab/>
        <w:tab/>
        <w:tab/>
      </w:r>
    </w:p>
    <w:p>
      <w:pPr>
        <w:pStyle w:val="Heading1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start"/>
        <w:rPr/>
      </w:pPr>
      <w:r>
        <w:rPr/>
        <w:t>BACKGROUND</w:t>
      </w:r>
    </w:p>
    <w:p>
      <w:pPr>
        <w:pStyle w:val="Header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80"/>
        <w:jc w:val="start"/>
        <w:rPr>
          <w:sz w:val="14"/>
          <w:u w:val="single"/>
        </w:rPr>
      </w:pPr>
      <w:r>
        <w:rPr>
          <w:sz w:val="14"/>
          <w:u w:val="single"/>
        </w:rPr>
      </w:r>
    </w:p>
    <w:p>
      <w:pPr>
        <w:pStyle w:val="Header"/>
        <w:tabs>
          <w:tab w:val="clear" w:pos="4320"/>
          <w:tab w:val="clear" w:pos="8640"/>
        </w:tabs>
        <w:ind w:end="-80"/>
        <w:rPr/>
      </w:pPr>
      <w:r>
        <w:rPr/>
        <w:t>TransCanada has identified two typographical errors in Section 5.1 of the FT Toll Schedule.  The errors are as follows:</w:t>
      </w:r>
    </w:p>
    <w:p>
      <w:pPr>
        <w:pStyle w:val="Header"/>
        <w:tabs>
          <w:tab w:val="clear" w:pos="4320"/>
          <w:tab w:val="clear" w:pos="8640"/>
        </w:tabs>
        <w:ind w:end="-80"/>
        <w:rPr/>
      </w:pPr>
      <w:r>
        <w:rPr/>
      </w:r>
    </w:p>
    <w:p>
      <w:pPr>
        <w:pStyle w:val="Normal"/>
        <w:ind w:hanging="450" w:start="450" w:end="0"/>
        <w:rPr/>
      </w:pPr>
      <w:r>
        <w:rPr/>
        <w:t>1.</w:t>
        <w:tab/>
        <w:t>The second sentence of Section 5.1 of the FT Toll Schedule states:</w:t>
      </w:r>
    </w:p>
    <w:p>
      <w:pPr>
        <w:pStyle w:val="Normal"/>
        <w:rPr/>
      </w:pPr>
      <w:r>
        <w:rPr/>
      </w:r>
    </w:p>
    <w:p>
      <w:pPr>
        <w:pStyle w:val="BlockText"/>
        <w:ind w:start="900" w:end="720"/>
        <w:rPr>
          <w:rFonts w:ascii="Helvetica" w:hAnsi="Helvetica" w:cs="Helvetica"/>
          <w:sz w:val="24"/>
        </w:rPr>
      </w:pPr>
      <w:r>
        <w:rPr>
          <w:rFonts w:cs="Helvetica" w:ascii="Helvetica" w:hAnsi="Helvetica"/>
          <w:sz w:val="24"/>
        </w:rPr>
        <w:t>“</w:t>
      </w:r>
      <w:r>
        <w:rPr>
          <w:rFonts w:cs="Helvetica" w:ascii="Helvetica" w:hAnsi="Helvetica"/>
          <w:sz w:val="24"/>
        </w:rPr>
        <w:t>If TransCanada refuses to accept deliveries of Shipper’s gas or curtails receipt from or deliveries to Shipper pursuant to Paragraph 1(c) of Section II of the General Terms and Conditions, then there shall be no corresponding reduction in the monthly demand charge to Shipper.”</w:t>
      </w:r>
    </w:p>
    <w:p>
      <w:pPr>
        <w:pStyle w:val="Normal"/>
        <w:rPr>
          <w:rFonts w:ascii="Helvetica" w:hAnsi="Helvetica" w:cs="Helvetica"/>
          <w:sz w:val="24"/>
        </w:rPr>
      </w:pPr>
      <w:r>
        <w:rPr>
          <w:rFonts w:cs="Helvetica"/>
          <w:sz w:val="24"/>
        </w:rPr>
      </w:r>
    </w:p>
    <w:p>
      <w:pPr>
        <w:pStyle w:val="Normal"/>
        <w:ind w:start="450" w:end="0"/>
        <w:rPr/>
      </w:pPr>
      <w:r>
        <w:rPr/>
        <w:t>There are only Paragraphs 1(a) and (b) in Section II of the General Terms and Conditions.  Paragraph 1(c) does not exist.</w:t>
      </w:r>
    </w:p>
    <w:p>
      <w:pPr>
        <w:pStyle w:val="Normal"/>
        <w:ind w:start="450" w:end="720"/>
        <w:rPr/>
      </w:pPr>
      <w:r>
        <w:rPr/>
      </w:r>
    </w:p>
    <w:p>
      <w:pPr>
        <w:pStyle w:val="BodyTextIndent"/>
        <w:ind w:start="450" w:end="0"/>
        <w:rPr>
          <w:rFonts w:ascii="Helvetica" w:hAnsi="Helvetica" w:cs="Helvetica"/>
          <w:sz w:val="24"/>
        </w:rPr>
      </w:pPr>
      <w:r>
        <w:rPr>
          <w:rFonts w:cs="Helvetica" w:ascii="Helvetica" w:hAnsi="Helvetica"/>
          <w:sz w:val="24"/>
        </w:rPr>
        <w:t>TransCanada believes that this clause should have referred to Paragraph 1(b) of Section II of the General Terms and Conditions.  This Paragraph states:</w:t>
      </w:r>
    </w:p>
    <w:p>
      <w:pPr>
        <w:pStyle w:val="Normal"/>
        <w:ind w:start="720" w:end="0"/>
        <w:rPr>
          <w:rFonts w:ascii="Helvetica" w:hAnsi="Helvetica" w:cs="Helvetica"/>
          <w:sz w:val="24"/>
        </w:rPr>
      </w:pPr>
      <w:r>
        <w:rPr>
          <w:rFonts w:cs="Helvetica"/>
          <w:sz w:val="24"/>
        </w:rPr>
      </w:r>
    </w:p>
    <w:p>
      <w:pPr>
        <w:pStyle w:val="Normal"/>
        <w:ind w:start="900" w:end="720"/>
        <w:rPr/>
      </w:pPr>
      <w:r>
        <w:rPr/>
        <w:t>“</w:t>
      </w:r>
      <w:r>
        <w:rPr/>
        <w:t>(b)</w:t>
        <w:tab/>
        <w:t xml:space="preserve"> If on any day Shipper fails to accept all or any portion of the gas delivered at the delivery point by TransCanada pursuant to the applicable Toll Schedule, TransCanada shall have the right to curtail further receipts of gas from Shipper at the receipt point in a quantity equal to that which Shipper failed to accept from TransCanada.  If on any day Shipper requests service hereunder but fails, for whatever reason, to deliver gas to TransCanada at the receipt point, then TransCanada shall have the right to curtail further deliveries of gas to Shipper at the delivery point in a quantity equal to that which Shipper failed to deliver to TransCanada.”</w:t>
      </w:r>
    </w:p>
    <w:p>
      <w:pPr>
        <w:pStyle w:val="Normal"/>
        <w:ind w:start="720" w:end="720"/>
        <w:rPr/>
      </w:pPr>
      <w:r>
        <w:rPr/>
      </w:r>
    </w:p>
    <w:p>
      <w:pPr>
        <w:pStyle w:val="Normal"/>
        <w:ind w:start="450" w:end="720"/>
        <w:rPr/>
      </w:pPr>
      <w:r>
        <w:rPr/>
        <w:t>TransCanada suggests that the original intent was that there would be no demand charge reduction in the event of Force Majeure in cases where a shipper was already curtailed due to supply / demand imbalance pursuant to Paragraph 1(b) of Section II of the General Terms and Conditions.</w:t>
      </w:r>
    </w:p>
    <w:p>
      <w:pPr>
        <w:pStyle w:val="Normal"/>
        <w:ind w:start="450" w:end="720"/>
        <w:rPr/>
      </w:pPr>
      <w:r>
        <w:rPr/>
      </w:r>
    </w:p>
    <w:p>
      <w:pPr>
        <w:pStyle w:val="Normal"/>
        <w:ind w:start="450" w:end="720"/>
        <w:rPr/>
      </w:pPr>
      <w:r>
        <w:rPr>
          <w:b/>
        </w:rPr>
        <w:t>Proposed Correction</w:t>
      </w:r>
      <w:r>
        <w:rPr/>
        <w:t>:</w:t>
        <w:tab/>
        <w:t>Section 5.1 of the FT Toll Schedule amended to replace the reference to Paragraph 1(c) of Section II of the General Terms and Conditions with Paragraph 1(b) of Section II of the General Terms and Conditions.</w:t>
      </w:r>
    </w:p>
    <w:p>
      <w:pPr>
        <w:pStyle w:val="Normal"/>
        <w:ind w:start="720" w:end="720"/>
        <w:rPr/>
      </w:pPr>
      <w:r>
        <w:rPr/>
      </w:r>
    </w:p>
    <w:p>
      <w:pPr>
        <w:pStyle w:val="Normal"/>
        <w:ind w:hanging="720" w:start="1440" w:end="0"/>
        <w:rPr/>
      </w:pPr>
      <w:r>
        <w:rPr/>
      </w:r>
    </w:p>
    <w:p>
      <w:pPr>
        <w:pStyle w:val="BodyText"/>
        <w:numPr>
          <w:ilvl w:val="0"/>
          <w:numId w:val="1"/>
        </w:numPr>
        <w:tabs>
          <w:tab w:val="clear" w:pos="720"/>
        </w:tabs>
        <w:ind w:hanging="450" w:start="450" w:end="0"/>
        <w:rPr/>
      </w:pPr>
      <w:r>
        <w:rPr/>
        <w:t>The second typographical error occurs in the third sentence of this Section 5.1 of the FT Toll Schedule where reference is made to “Paragraph 1(g)(ii) or 2(g)(ii) in Section XV of the General Terms and Conditions”.  These sections are supposed to deal with Winter Diversions, however, in the current version of the Tariff there is no Paragraph 1(g)(ii) or 2(g)(ii).  The correct reference should be to Paragraph 1(h)(ii) and 2(h)(ii).  These sections deal with curtailment of Winter Diversions made under FT, FST, STFT and LT-WFS Contracts not already curtailed pursuant to subparagraphs 1(d)(ii), 1(e)(ii), 2(d)(ii) and 2(e)(ii) in amounts so diverted under such Contracts.</w:t>
      </w:r>
    </w:p>
    <w:p>
      <w:pPr>
        <w:pStyle w:val="BodyText"/>
        <w:ind w:hanging="450" w:start="450" w:end="0"/>
        <w:rPr/>
      </w:pPr>
      <w:r>
        <w:rPr/>
      </w:r>
    </w:p>
    <w:p>
      <w:pPr>
        <w:pStyle w:val="BodyText"/>
        <w:ind w:start="450" w:end="0"/>
        <w:rPr/>
      </w:pPr>
      <w:r>
        <w:rPr>
          <w:b/>
        </w:rPr>
        <w:t>Proposed Correction</w:t>
      </w:r>
      <w:r>
        <w:rPr/>
        <w:t>:</w:t>
        <w:tab/>
        <w:t>Section 5.1 of the FT Toll Schedule should be amended to replace the reference to Paragraph 1(g)(ii) and 2(g)(ii) in Section XV of the General Terms and Conditions with Paragraph 1(h)(ii) and 2(h)(ii).</w:t>
      </w:r>
    </w:p>
    <w:p>
      <w:pPr>
        <w:pStyle w:val="Header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80"/>
        <w:jc w:val="start"/>
        <w:rPr>
          <w:sz w:val="14"/>
          <w:u w:val="single"/>
        </w:rPr>
      </w:pPr>
      <w:r>
        <w:rPr>
          <w:sz w:val="14"/>
          <w:u w:val="single"/>
        </w:rPr>
      </w:r>
    </w:p>
    <w:p>
      <w:pPr>
        <w:pStyle w:val="Header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80"/>
        <w:jc w:val="start"/>
        <w:rPr>
          <w:sz w:val="14"/>
          <w:u w:val="single"/>
        </w:rPr>
      </w:pPr>
      <w:r>
        <w:rPr>
          <w:sz w:val="14"/>
          <w:u w:val="single"/>
        </w:rPr>
      </w:r>
    </w:p>
    <w:p>
      <w:pPr>
        <w:pStyle w:val="Header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80"/>
        <w:jc w:val="start"/>
        <w:rPr>
          <w:sz w:val="14"/>
          <w:u w:val="single"/>
        </w:rPr>
      </w:pPr>
      <w:r>
        <w:rPr>
          <w:sz w:val="14"/>
          <w:u w:val="single"/>
        </w:rPr>
      </w:r>
    </w:p>
    <w:p>
      <w:pPr>
        <w:pStyle w:val="Header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80"/>
        <w:jc w:val="start"/>
        <w:rPr>
          <w:sz w:val="14"/>
          <w:u w:val="single"/>
        </w:rPr>
      </w:pPr>
      <w:r>
        <w:rPr>
          <w:sz w:val="14"/>
          <w:u w:val="single"/>
        </w:rPr>
      </w:r>
    </w:p>
    <w:p>
      <w:pPr>
        <w:pStyle w:val="Header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80"/>
        <w:jc w:val="start"/>
        <w:rPr>
          <w:sz w:val="14"/>
        </w:rPr>
      </w:pPr>
      <w:r>
        <w:rPr>
          <w:sz w:val="14"/>
          <w:u w:val="single"/>
        </w:rPr>
        <w:tab/>
        <w:tab/>
        <w:tab/>
        <w:tab/>
        <w:tab/>
        <w:tab/>
        <w:tab/>
        <w:tab/>
        <w:tab/>
        <w:tab/>
        <w:tab/>
        <w:tab/>
        <w:tab/>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240" w:after="0"/>
        <w:jc w:val="start"/>
        <w:rPr>
          <w:b/>
          <w:sz w:val="28"/>
        </w:rPr>
      </w:pPr>
      <w:r>
        <w:rPr>
          <w:b/>
          <w:sz w:val="28"/>
        </w:rPr>
        <w:t>VOTING RESULTS</w:t>
      </w:r>
    </w:p>
    <w:sectPr>
      <w:headerReference w:type="default" r:id="rId2"/>
      <w:footerReference w:type="default" r:id="rId3"/>
      <w:type w:val="nextPage"/>
      <w:pgSz w:w="12240" w:h="15840"/>
      <w:pgMar w:left="1800" w:right="1080" w:gutter="0" w:header="720" w:top="333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Minion TC">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720"/>
      <w:rPr>
        <w:sz w:val="18"/>
      </w:rPr>
    </w:pPr>
    <w:r>
      <w:rPr>
        <w:sz w:val="18"/>
        <w:u w:val="single"/>
      </w:rPr>
      <w:tab/>
      <w:tab/>
      <w:tab/>
      <w:tab/>
      <w:tab/>
      <w:tab/>
      <w:tab/>
      <w:tab/>
      <w:tab/>
      <w:tab/>
      <w:tab/>
      <w:tab/>
      <w:tab/>
    </w:r>
  </w:p>
  <w:p>
    <w:pPr>
      <w:pStyle w:val="Footer1"/>
      <w:spacing w:lineRule="atLeast" w:line="360"/>
      <w:rPr/>
    </w:pPr>
    <w:r>
      <w:rPr/>
      <w:t>Date Issued – March 6, 2001</w:t>
    </w:r>
  </w:p>
  <w:p>
    <w:pPr>
      <w:pStyle w:val="Footer1"/>
      <w:spacing w:lineRule="atLeast" w:line="3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ind w:end="-720"/>
      <w:rPr>
        <w:b/>
        <w:sz w:val="72"/>
      </w:rPr>
    </w:pPr>
    <w:r>
      <w:drawing>
        <wp:anchor behindDoc="1" distT="0" distB="0" distL="114935" distR="114935" simplePos="0" locked="0" layoutInCell="1" allowOverlap="1" relativeHeight="4">
          <wp:simplePos x="0" y="0"/>
          <wp:positionH relativeFrom="column">
            <wp:posOffset>-228600</wp:posOffset>
          </wp:positionH>
          <wp:positionV relativeFrom="paragraph">
            <wp:posOffset>11430</wp:posOffset>
          </wp:positionV>
          <wp:extent cx="1645920" cy="86106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2" t="-42" r="-22" b="-42"/>
                  <a:stretch>
                    <a:fillRect/>
                  </a:stretch>
                </pic:blipFill>
                <pic:spPr bwMode="auto">
                  <a:xfrm>
                    <a:off x="0" y="0"/>
                    <a:ext cx="1645920" cy="861060"/>
                  </a:xfrm>
                  <a:prstGeom prst="rect">
                    <a:avLst/>
                  </a:prstGeom>
                  <a:noFill/>
                </pic:spPr>
              </pic:pic>
            </a:graphicData>
          </a:graphic>
        </wp:anchor>
      </w:drawing>
    </w:r>
    <w:r>
      <w:rPr>
        <w:sz w:val="72"/>
      </w:rPr>
      <w:tab/>
    </w:r>
    <w:r>
      <w:rPr>
        <w:b/>
      </w:rPr>
      <w:t>2001 TOLLS TASK FORCE ISSUE</w:t>
    </w:r>
  </w:p>
  <w:p>
    <w:pPr>
      <w:pStyle w:val="Normal"/>
      <w:tabs>
        <w:tab w:val="clear" w:pos="720"/>
        <w:tab w:val="left" w:pos="5130" w:leader="none"/>
        <w:tab w:val="left" w:pos="5760" w:leader="none"/>
        <w:tab w:val="left" w:pos="6480" w:leader="none"/>
        <w:tab w:val="left" w:pos="7200" w:leader="none"/>
        <w:tab w:val="left" w:pos="7920" w:leader="none"/>
        <w:tab w:val="left" w:pos="8640" w:leader="none"/>
      </w:tabs>
      <w:ind w:end="-720"/>
      <w:rPr/>
    </w:pPr>
    <w:r>
      <w:rPr>
        <w:sz w:val="14"/>
      </w:rPr>
      <w:tab/>
    </w:r>
    <w:r>
      <w:rPr>
        <w:sz w:val="14"/>
        <w:u w:val="single"/>
      </w:rPr>
      <w:tab/>
      <w:tab/>
      <w:tab/>
      <w:tab/>
      <w:tab/>
      <w:tab/>
    </w:r>
  </w:p>
  <w:p>
    <w:pPr>
      <w:pStyle w:val="Normal"/>
      <w:tabs>
        <w:tab w:val="clear" w:pos="720"/>
        <w:tab w:val="left" w:pos="5130" w:leader="none"/>
        <w:tab w:val="left" w:pos="7640" w:leader="none"/>
        <w:tab w:val="left" w:pos="7920" w:leader="none"/>
        <w:tab w:val="left" w:pos="8640" w:leader="none"/>
      </w:tabs>
      <w:ind w:end="-720"/>
      <w:rPr>
        <w:sz w:val="18"/>
      </w:rPr>
    </w:pPr>
    <w:r>
      <w:rPr>
        <w:sz w:val="18"/>
      </w:rPr>
      <w:tab/>
      <w:t>Date Accepted As Issue:</w:t>
      <w:tab/>
      <w:t>Issue No:</w:t>
    </w:r>
  </w:p>
  <w:p>
    <w:pPr>
      <w:pStyle w:val="Normal"/>
      <w:tabs>
        <w:tab w:val="clear" w:pos="720"/>
        <w:tab w:val="left" w:pos="5130" w:leader="none"/>
        <w:tab w:val="left" w:pos="8100" w:leader="none"/>
        <w:tab w:val="left" w:pos="8640" w:leader="none"/>
      </w:tabs>
      <w:spacing w:lineRule="atLeast" w:line="360"/>
      <w:ind w:end="-720"/>
      <w:rPr/>
    </w:pPr>
    <w:r>
      <w:rPr>
        <w:sz w:val="18"/>
      </w:rPr>
      <w:tab/>
    </w:r>
    <w:r>
      <w:rPr/>
      <w:t>March 6, 2001                  C -15</w:t>
    </w:r>
  </w:p>
  <w:p>
    <w:pPr>
      <w:pStyle w:val="Normal"/>
      <w:tabs>
        <w:tab w:val="clear" w:pos="720"/>
        <w:tab w:val="left" w:pos="5130" w:leader="none"/>
        <w:tab w:val="left" w:pos="8100" w:leader="none"/>
        <w:tab w:val="left" w:pos="8640" w:leader="none"/>
      </w:tabs>
      <w:ind w:end="-720"/>
      <w:rPr/>
    </w:pPr>
    <w:r>
      <w:rPr>
        <w:sz w:val="14"/>
      </w:rPr>
      <w:tab/>
    </w:r>
    <w:r>
      <w:rPr>
        <w:sz w:val="14"/>
        <w:u w:val="single"/>
      </w:rPr>
      <w:tab/>
      <w:tab/>
      <w:tab/>
    </w:r>
  </w:p>
  <w:p>
    <w:pPr>
      <w:pStyle w:val="Normal"/>
      <w:tabs>
        <w:tab w:val="clear" w:pos="720"/>
        <w:tab w:val="left" w:pos="5130" w:leader="none"/>
        <w:tab w:val="left" w:pos="8100" w:leader="none"/>
        <w:tab w:val="left" w:pos="8640" w:leader="none"/>
      </w:tabs>
      <w:ind w:end="-720"/>
      <w:rPr>
        <w:sz w:val="18"/>
      </w:rPr>
    </w:pPr>
    <w:r>
      <w:rPr>
        <w:sz w:val="18"/>
      </w:rPr>
      <w:tab/>
      <w:t>Date Issue Originated:</w:t>
      <w:tab/>
      <w:t>Sheet Number:</w:t>
    </w:r>
  </w:p>
  <w:p>
    <w:pPr>
      <w:pStyle w:val="Normal"/>
      <w:tabs>
        <w:tab w:val="clear" w:pos="720"/>
        <w:tab w:val="left" w:pos="5130" w:leader="none"/>
        <w:tab w:val="left" w:pos="8100" w:leader="none"/>
        <w:tab w:val="left" w:pos="8640" w:leader="none"/>
      </w:tabs>
      <w:ind w:end="-720"/>
      <w:rPr>
        <w:sz w:val="18"/>
      </w:rPr>
    </w:pPr>
    <w:r>
      <w:rPr>
        <w:sz w:val="18"/>
      </w:rPr>
    </w:r>
  </w:p>
  <w:p>
    <w:pPr>
      <w:pStyle w:val="Normal"/>
      <w:tabs>
        <w:tab w:val="clear" w:pos="720"/>
        <w:tab w:val="left" w:pos="5130" w:leader="none"/>
        <w:tab w:val="left" w:pos="8360" w:leader="none"/>
        <w:tab w:val="left" w:pos="8640" w:leader="none"/>
      </w:tabs>
      <w:ind w:end="-720"/>
      <w:rPr/>
    </w:pPr>
    <w:r>
      <w:rPr>
        <w:sz w:val="18"/>
      </w:rPr>
      <w:tab/>
    </w:r>
    <w:r>
      <w:rPr/>
      <w:t xml:space="preserve">March 6, 2001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p>
  <w:p>
    <w:pPr>
      <w:pStyle w:val="Normal"/>
      <w:tabs>
        <w:tab w:val="clear" w:pos="720"/>
        <w:tab w:val="left" w:pos="5130" w:leader="none"/>
        <w:tab w:val="left" w:pos="8100" w:leader="none"/>
        <w:tab w:val="left" w:pos="8640" w:leader="none"/>
      </w:tabs>
      <w:ind w:end="-720"/>
      <w:rPr/>
    </w:pPr>
    <w:r>
      <w:rPr>
        <w:sz w:val="14"/>
      </w:rPr>
      <w:tab/>
    </w:r>
    <w:r>
      <w:rPr>
        <w:sz w:val="14"/>
        <w:u w:val="single"/>
      </w:rPr>
      <w:tab/>
      <w:tab/>
      <w:tab/>
    </w:r>
  </w:p>
  <w:p>
    <w:pPr>
      <w:pStyle w:val="Normal"/>
      <w:tabs>
        <w:tab w:val="clear" w:pos="720"/>
        <w:tab w:val="left" w:pos="5130" w:leader="none"/>
        <w:tab w:val="left" w:pos="8100" w:leader="none"/>
        <w:tab w:val="left" w:pos="8640" w:leader="none"/>
      </w:tabs>
      <w:ind w:end="-720"/>
      <w:rPr>
        <w:sz w:val="18"/>
      </w:rPr>
    </w:pPr>
    <w:r>
      <w:rPr>
        <w:sz w:val="18"/>
      </w:rPr>
      <w:tab/>
      <w:t>Issue Originated By:</w:t>
    </w:r>
  </w:p>
  <w:p>
    <w:pPr>
      <w:pStyle w:val="Header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720"/>
      <w:rPr>
        <w:sz w:val="18"/>
      </w:rPr>
    </w:pPr>
    <w:r>
      <w:rPr>
        <w:sz w:val="18"/>
      </w:rPr>
    </w:r>
  </w:p>
  <w:p>
    <w:pPr>
      <w:pStyle w:val="Normal"/>
      <w:tabs>
        <w:tab w:val="clear" w:pos="720"/>
        <w:tab w:val="left" w:pos="5130" w:leader="none"/>
        <w:tab w:val="left" w:pos="8100" w:leader="none"/>
        <w:tab w:val="left" w:pos="8640" w:leader="none"/>
      </w:tabs>
      <w:ind w:end="-720"/>
      <w:rPr/>
    </w:pPr>
    <w:r>
      <w:rPr/>
      <w:tab/>
      <w:t>TransCanada PipeLines</w:t>
    </w:r>
  </w:p>
  <w:p>
    <w:pPr>
      <w:pStyle w:val="Normal"/>
      <w:tabs>
        <w:tab w:val="clear" w:pos="720"/>
        <w:tab w:val="left" w:pos="5130" w:leader="none"/>
        <w:tab w:val="left" w:pos="8100" w:leader="none"/>
        <w:tab w:val="left" w:pos="8640" w:leader="none"/>
      </w:tabs>
      <w:ind w:end="-720"/>
      <w:rPr/>
    </w:pPr>
    <w:r>
      <w:rPr>
        <w:sz w:val="14"/>
      </w:rPr>
      <w:tab/>
    </w:r>
    <w:r>
      <w:rPr>
        <w:sz w:val="14"/>
        <w:u w:val="single"/>
      </w:rPr>
      <w:tab/>
      <w:tab/>
      <w:tab/>
    </w:r>
  </w:p>
  <w:p>
    <w:pPr>
      <w:pStyle w:val="Normal"/>
      <w:tabs>
        <w:tab w:val="clear" w:pos="720"/>
        <w:tab w:val="left" w:pos="5130" w:leader="none"/>
        <w:tab w:val="left" w:pos="7820" w:leader="none"/>
        <w:tab w:val="left" w:pos="7920" w:leader="none"/>
        <w:tab w:val="left" w:pos="8640" w:leader="none"/>
      </w:tabs>
      <w:ind w:end="-720"/>
      <w:rPr>
        <w:sz w:val="18"/>
      </w:rPr>
    </w:pPr>
    <w:r>
      <w:rPr>
        <w:sz w:val="18"/>
      </w:rPr>
      <w:tab/>
      <w:t>Individual to Contact:</w:t>
      <w:tab/>
      <w:t>Telephone  Number</w:t>
    </w:r>
  </w:p>
  <w:p>
    <w:pPr>
      <w:pStyle w:val="Normal"/>
      <w:tabs>
        <w:tab w:val="clear" w:pos="720"/>
        <w:tab w:val="left" w:pos="5130" w:leader="none"/>
        <w:tab w:val="left" w:pos="7740" w:leader="none"/>
        <w:tab w:val="left" w:pos="7920" w:leader="none"/>
        <w:tab w:val="left" w:pos="8640" w:leader="none"/>
      </w:tabs>
      <w:ind w:end="-720"/>
      <w:rPr/>
    </w:pPr>
    <w:r>
      <w:rPr/>
      <w:tab/>
      <w:t>Steve Emond</w:t>
      <w:tab/>
      <w:t>(403) 267-6333</w:t>
    </w:r>
  </w:p>
  <w:p>
    <w:pPr>
      <w:pStyle w:val="Normal"/>
      <w:tabs>
        <w:tab w:val="clear" w:pos="720"/>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s>
      <w:rPr>
        <w:sz w:val="14"/>
        <w:u w:val="single"/>
      </w:rPr>
    </w:pPr>
    <w:r>
      <w:rPr>
        <w:sz w:val="14"/>
        <w:u w:val="single"/>
      </w:rPr>
      <w:tab/>
      <w:tab/>
      <w:tab/>
      <w:tab/>
      <w:tab/>
      <w:tab/>
      <w:tab/>
      <w:tab/>
      <w:tab/>
    </w:r>
  </w:p>
  <w:p>
    <w:pPr>
      <w:pStyle w:val="Normal"/>
      <w:tabs>
        <w:tab w:val="clear" w:pos="720"/>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s>
      <w:rPr>
        <w:b/>
        <w:sz w:val="14"/>
        <w:u w:val="single"/>
      </w:rPr>
    </w:pPr>
    <w:r>
      <w:rPr>
        <w:b/>
        <w:sz w:val="14"/>
        <w:u w:val="single"/>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rPr/>
    </w:pPr>
    <w:r>
      <w:rPr>
        <w:b/>
        <w:sz w:val="28"/>
      </w:rPr>
      <w:t>ISSUE:</w:t>
    </w:r>
    <w:r>
      <w:rPr>
        <w:sz w:val="28"/>
      </w:rPr>
      <w:tab/>
      <w:t>Correction to Tariff: Force Majeure Demand Charge Adjustments</w:t>
    </w:r>
  </w:p>
  <w:p>
    <w:pPr>
      <w:pStyle w:val="Header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720"/>
      <w:rPr>
        <w:sz w:val="14"/>
        <w:u w:val="single"/>
      </w:rPr>
    </w:pPr>
    <w:r>
      <w:rPr>
        <w:sz w:val="14"/>
        <w:u w:val="single"/>
      </w:rPr>
      <w:tab/>
      <w:tab/>
      <w:tab/>
      <w:tab/>
      <w:tab/>
      <w:tab/>
      <w:tab/>
      <w:tab/>
      <w:tab/>
      <w:tab/>
      <w:tab/>
      <w:tab/>
      <w:tab/>
    </w:r>
  </w:p>
  <w:p>
    <w:pPr>
      <w:pStyle w:val="Header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720"/>
      <w:rPr>
        <w:sz w:val="14"/>
        <w:u w:val="single"/>
      </w:rPr>
    </w:pPr>
    <w:r>
      <w:rPr>
        <w:sz w:val="14"/>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Helvetica" w:hAnsi="Helvetica" w:eastAsia="Times New Roman" w:cs="Helvetica"/>
      <w:color w:val="auto"/>
      <w:sz w:val="24"/>
      <w:szCs w:val="20"/>
      <w:lang w:val="en-US" w:eastAsia="zh-CN" w:bidi="hi-IN"/>
    </w:rPr>
  </w:style>
  <w:style w:type="character" w:styleId="WW8Num2z0">
    <w:name w:val="WW8Num2z0"/>
    <w:qFormat/>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MacroText">
    <w:name w:val="Macro Text"/>
    <w:basedOn w:val="Normal"/>
    <w:qFormat/>
    <w:pPr/>
    <w:rPr>
      <w:sz w:val="20"/>
    </w:rPr>
  </w:style>
  <w:style w:type="paragraph" w:styleId="Word4095Null">
    <w:name w:val="Word4095Null"/>
    <w:qFormat/>
    <w:pPr>
      <w:widowControl/>
      <w:bidi w:val="0"/>
    </w:pPr>
    <w:rPr>
      <w:rFonts w:ascii="Times" w:hAnsi="Times" w:eastAsia="Times New Roman" w:cs="Times"/>
      <w:color w:val="auto"/>
      <w:sz w:val="20"/>
      <w:szCs w:val="20"/>
      <w:lang w:val="en-US" w:eastAsia="zh-CN" w:bidi="hi-IN"/>
    </w:rPr>
  </w:style>
  <w:style w:type="paragraph" w:styleId="Heading11">
    <w:name w:val="Heading 11"/>
    <w:basedOn w:val="Normal"/>
    <w:qFormat/>
    <w:pPr>
      <w:spacing w:before="240" w:after="60"/>
    </w:pPr>
    <w:rPr>
      <w:b/>
      <w:sz w:val="28"/>
    </w:rPr>
  </w:style>
  <w:style w:type="paragraph" w:styleId="DefaultParagraphFont1">
    <w:name w:val="Default Paragraph Font1"/>
    <w:qFormat/>
    <w:pPr>
      <w:widowControl/>
      <w:bidi w:val="0"/>
    </w:pPr>
    <w:rPr>
      <w:rFonts w:ascii="Times" w:hAnsi="Times" w:eastAsia="Times New Roman" w:cs="Times"/>
      <w:color w:val="auto"/>
      <w:sz w:val="20"/>
      <w:szCs w:val="20"/>
      <w:lang w:val="en-US" w:eastAsia="zh-CN" w:bidi="hi-IN"/>
    </w:rPr>
  </w:style>
  <w:style w:type="paragraph" w:styleId="Footer1">
    <w:name w:val="Footer1"/>
    <w:basedOn w:val="Normal"/>
    <w:qFormat/>
    <w:pPr>
      <w:tabs>
        <w:tab w:val="clear" w:pos="720"/>
        <w:tab w:val="center" w:pos="4320" w:leader="none"/>
        <w:tab w:val="right" w:pos="8640" w:leader="none"/>
      </w:tabs>
    </w:pPr>
    <w:rPr/>
  </w:style>
  <w:style w:type="paragraph" w:styleId="Header1">
    <w:name w:val="Header1"/>
    <w:basedOn w:val="Normal"/>
    <w:qFormat/>
    <w:pPr>
      <w:tabs>
        <w:tab w:val="clear" w:pos="720"/>
        <w:tab w:val="center" w:pos="4320" w:leader="none"/>
        <w:tab w:val="right" w:pos="8640" w:leader="none"/>
      </w:tabs>
    </w:pPr>
    <w:rPr/>
  </w:style>
  <w:style w:type="paragraph" w:styleId="PageNumber1">
    <w:name w:val="Page Number1"/>
    <w:basedOn w:val="DefaultParagraphFont1"/>
    <w:qFormat/>
    <w:pPr/>
    <w:rPr/>
  </w:style>
  <w:style w:type="paragraph" w:styleId="Rightpara">
    <w:name w:val="Right para"/>
    <w:basedOn w:val="Normal"/>
    <w:qFormat/>
    <w:pPr>
      <w:ind w:hanging="720" w:start="5400" w:end="0"/>
    </w:pPr>
    <w:rPr/>
  </w:style>
  <w:style w:type="paragraph" w:styleId="TDP-indentone">
    <w:name w:val="TDP - indent one"/>
    <w:basedOn w:val="Normal"/>
    <w:qFormat/>
    <w:pPr>
      <w:tabs>
        <w:tab w:val="left" w:pos="720" w:leader="none"/>
      </w:tabs>
      <w:spacing w:lineRule="atLeast" w:line="360"/>
      <w:ind w:hanging="720" w:start="720" w:end="0"/>
      <w:jc w:val="start"/>
    </w:pPr>
    <w:rPr/>
  </w:style>
  <w:style w:type="paragraph" w:styleId="bulletpara">
    <w:name w:val="bullet para"/>
    <w:basedOn w:val="Normal"/>
    <w:qFormat/>
    <w:pPr>
      <w:tabs>
        <w:tab w:val="left" w:pos="720" w:leader="none"/>
      </w:tabs>
      <w:ind w:hanging="720" w:start="720" w:end="0"/>
      <w:jc w:val="start"/>
    </w:pPr>
    <w:rPr/>
  </w:style>
  <w:style w:type="paragraph" w:styleId="bodytextindent1">
    <w:name w:val="body text indent1"/>
    <w:basedOn w:val="Normal"/>
    <w:qFormat/>
    <w:pPr>
      <w:spacing w:before="0" w:after="120"/>
    </w:pPr>
    <w:rPr/>
  </w:style>
  <w:style w:type="paragraph" w:styleId="BlockText">
    <w:name w:val="Block Text"/>
    <w:basedOn w:val="Normal"/>
    <w:qFormat/>
    <w:pPr>
      <w:ind w:hanging="0" w:start="720" w:end="720"/>
      <w:jc w:val="start"/>
    </w:pPr>
    <w:rPr>
      <w:rFonts w:ascii="Minion TC" w:hAnsi="Minion TC" w:eastAsia="Times" w:cs="Minion TC"/>
      <w:sz w:val="22"/>
    </w:rPr>
  </w:style>
  <w:style w:type="paragraph" w:styleId="BodyTextIndent">
    <w:name w:val="Body Text Indent"/>
    <w:basedOn w:val="Normal"/>
    <w:pPr>
      <w:ind w:hanging="0" w:start="720" w:end="0"/>
      <w:jc w:val="start"/>
    </w:pPr>
    <w:rPr>
      <w:rFonts w:ascii="Minion TC" w:hAnsi="Minion TC" w:eastAsia="Times" w:cs="Minion TC"/>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2001-03-08T18:39:00Z</dcterms:created>
  <dc:creator>TransCanada PipeLines</dc:creator>
  <dc:description/>
  <dc:language>en-CA</dc:language>
  <cp:lastModifiedBy>Marg_Seeger</cp:lastModifiedBy>
  <cp:lastPrinted>2001-03-02T17:55:00Z</cp:lastPrinted>
  <dcterms:modified xsi:type="dcterms:W3CDTF">2001-03-08T21:59:00Z</dcterms:modified>
  <cp:revision>3</cp:revision>
  <dc:subject/>
  <dc:title>RESOLUTION</dc:title>
</cp:coreProperties>
</file>