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480" w:before="240" w:after="0"/>
        <w:ind w:end="-720"/>
        <w:jc w:val="both"/>
        <w:rPr>
          <w:rFonts w:ascii="Helvetica" w:hAnsi="Helvetica" w:cs="Helvetica"/>
          <w:b/>
          <w:sz w:val="20"/>
        </w:rPr>
      </w:pPr>
      <w:r>
        <w:rPr>
          <w:rFonts w:cs="Helvetica" w:ascii="Helvetica" w:hAnsi="Helvetica"/>
          <w:b/>
          <w:sz w:val="20"/>
        </w:rPr>
      </w:r>
    </w:p>
    <w:p>
      <w:pPr>
        <w:pStyle w:val="Normal"/>
        <w:spacing w:lineRule="atLeast" w:line="480" w:before="240" w:after="0"/>
        <w:ind w:hanging="720" w:start="720" w:end="-720"/>
        <w:jc w:val="both"/>
        <w:rPr>
          <w:rFonts w:ascii="Helvetica" w:hAnsi="Helvetica" w:cs="Helvetica"/>
          <w:b/>
          <w:sz w:val="20"/>
        </w:rPr>
      </w:pPr>
      <w:r>
        <w:rPr>
          <w:rFonts w:cs="Helvetica" w:ascii="Helvetica" w:hAnsi="Helvetica"/>
          <w:b/>
          <w:sz w:val="20"/>
        </w:rPr>
        <w:t>5.</w:t>
        <w:tab/>
        <w:t>DEMAND CHARGE ADJUSTMENTS</w:t>
      </w:r>
    </w:p>
    <w:p>
      <w:pPr>
        <w:pStyle w:val="One"/>
        <w:tabs>
          <w:tab w:val="clear" w:pos="2520"/>
          <w:tab w:val="clear" w:pos="3140"/>
          <w:tab w:val="clear" w:pos="3680"/>
          <w:tab w:val="clear" w:pos="4320"/>
          <w:tab w:val="clear" w:pos="4940"/>
          <w:tab w:val="clear" w:pos="5480"/>
          <w:tab w:val="clear" w:pos="6120"/>
          <w:tab w:val="clear" w:pos="7200"/>
        </w:tabs>
        <w:spacing w:before="160" w:after="0"/>
        <w:ind w:start="720" w:end="-720"/>
        <w:rPr/>
      </w:pPr>
      <w:r>
        <w:rPr>
          <w:rFonts w:cs="Helvetica" w:ascii="Helvetica" w:hAnsi="Helvetica"/>
        </w:rPr>
        <w:t>5.1</w:t>
        <w:tab/>
        <w:t>If during any day, TransCanada fails to deliver the quantity of gas requested by Shipper up to the Contract Demand, for any reason related solely to TransCanada's operations, including an event of force majeure occurring on any of the pipeline systems of TransCanada, Great Lakes Gas Transmission Company ("GLGT"), Union Gas Limited ("Union") and Trans Quebec &amp; Maritimes Pipeline Inc. ("TQM"), then the monthly demand charge shall be reduced by an amount equal to the applicable Daily Demand Toll multiplied by the difference between the quantity of gas which TransCanada actually delivered to Shipper on such day, and the quantity of gas which such Shipper in good faith nominated hereunder on such day.  If TransCanada refuses to accept deliveries of Shipper's gas or curtails receipts from or deliveries to Shipper pursuant to Paragraph 1(</w:t>
      </w:r>
      <w:r>
        <w:rPr>
          <w:rFonts w:cs="Helvetica" w:ascii="Helvetica" w:hAnsi="Helvetica"/>
          <w:b/>
          <w:sz w:val="32"/>
          <w:u w:val="single"/>
        </w:rPr>
        <w:t>b</w:t>
      </w:r>
      <w:r>
        <w:rPr>
          <w:rFonts w:cs="Helvetica" w:ascii="Helvetica" w:hAnsi="Helvetica"/>
        </w:rPr>
        <w:t>) of Section II of the General Terms and Conditions, then there shall be no corresponding reduction in the monthly demand charge to Shipper. Notwithstanding the foregoing, if the quantity of gas which TransCanada fails to deliver is the subject of an accepted nomination for a diversion, then TransCanada shall only be obligated to reduce the monthly demand charge if such diversion is a Winter Diversion of the nature described in Paragraph 1(</w:t>
      </w:r>
      <w:r>
        <w:rPr>
          <w:rFonts w:cs="Helvetica" w:ascii="Helvetica" w:hAnsi="Helvetica"/>
          <w:b/>
          <w:sz w:val="32"/>
          <w:u w:val="single"/>
        </w:rPr>
        <w:t>h</w:t>
      </w:r>
      <w:r>
        <w:rPr>
          <w:rFonts w:cs="Helvetica" w:ascii="Helvetica" w:hAnsi="Helvetica"/>
        </w:rPr>
        <w:t>)(ii) or 2(</w:t>
      </w:r>
      <w:r>
        <w:rPr>
          <w:rFonts w:cs="Helvetica" w:ascii="Helvetica" w:hAnsi="Helvetica"/>
          <w:b/>
          <w:sz w:val="32"/>
          <w:u w:val="single"/>
        </w:rPr>
        <w:t>h</w:t>
      </w:r>
      <w:r>
        <w:rPr>
          <w:rFonts w:cs="Helvetica" w:ascii="Helvetica" w:hAnsi="Helvetica"/>
        </w:rPr>
        <w:t>)(ii) in Section XV of the General Terms and Conditions and in all other cases there shall be no reduction in the monthly demand charge.</w:t>
      </w:r>
    </w:p>
    <w:p>
      <w:pPr>
        <w:pStyle w:val="One"/>
        <w:tabs>
          <w:tab w:val="clear" w:pos="2520"/>
          <w:tab w:val="clear" w:pos="3140"/>
          <w:tab w:val="clear" w:pos="3680"/>
          <w:tab w:val="clear" w:pos="4320"/>
          <w:tab w:val="clear" w:pos="4940"/>
          <w:tab w:val="clear" w:pos="5480"/>
          <w:tab w:val="clear" w:pos="6120"/>
          <w:tab w:val="left" w:pos="7200" w:leader="none"/>
        </w:tabs>
        <w:ind w:start="720" w:end="-720"/>
        <w:rPr>
          <w:rFonts w:ascii="Helvetica" w:hAnsi="Helvetica" w:cs="Helvetica"/>
        </w:rPr>
      </w:pPr>
      <w:r>
        <w:rPr>
          <w:rFonts w:cs="Helvetica" w:ascii="Helvetica" w:hAnsi="Helvetica"/>
        </w:rPr>
      </w:r>
    </w:p>
    <w:sectPr>
      <w:headerReference w:type="default" r:id="rId2"/>
      <w:footerReference w:type="default" r:id="rId3"/>
      <w:type w:val="nextPage"/>
      <w:pgSz w:w="12240" w:h="15840"/>
      <w:pgMar w:left="1800" w:right="1800" w:gutter="0" w:header="720" w:top="1627" w:footer="720" w:bottom="135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 York">
    <w:charset w:val="00" w:characterSet="windows-1252"/>
    <w:family w:val="auto"/>
    <w:pitch w:val="variable"/>
  </w:font>
  <w:font w:name="Helvetica">
    <w:altName w:val="Arial"/>
    <w:charset w:val="00" w:characterSet="windows-1252"/>
    <w:family w:val="swiss"/>
    <w:pitch w:val="variable"/>
  </w:font>
  <w:font w:name="Frutiger TC Condensed">
    <w:charset w:val="00" w:characterSet="windows-1252"/>
    <w:family w:val="auto"/>
    <w:pitch w:val="variable"/>
  </w:font>
  <w:font w:name="Frutiger TC">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right" w:pos="9360" w:leader="none"/>
      </w:tabs>
      <w:spacing w:lineRule="atLeast" w:line="360"/>
      <w:ind w:end="-720"/>
      <w:rPr/>
    </w:pPr>
    <w:r>
      <w:rPr>
        <w:rFonts w:cs="Helvetica" w:ascii="Helvetica" w:hAnsi="Helvetica"/>
        <w:position w:val="-4"/>
        <w:sz w:val="18"/>
      </w:rPr>
      <w:t>Effective Date:  January 19, 2001</w:t>
    </w:r>
    <w:r>
      <w:rPr>
        <w:sz w:val="18"/>
      </w:rPr>
      <w:tab/>
    </w:r>
    <w:r>
      <w:rPr>
        <w:rFonts w:cs="Helvetica" w:ascii="Helvetica" w:hAnsi="Helvetica"/>
        <w:sz w:val="18"/>
      </w:rPr>
      <w:t xml:space="preserve">Sheet No.  </w:t>
    </w:r>
    <w:r>
      <w:rPr>
        <w:rFonts w:cs="Helvetica" w:ascii="Helvetica" w:hAnsi="Helvetica"/>
        <w:sz w:val="18"/>
      </w:rPr>
      <w:fldChar w:fldCharType="begin"/>
    </w:r>
    <w:r>
      <w:rPr>
        <w:sz w:val="18"/>
        <w:rFonts w:cs="Helvetica" w:ascii="Helvetica" w:hAnsi="Helvetica"/>
      </w:rPr>
      <w:instrText xml:space="preserve"> PAGE \* ARABIC </w:instrText>
    </w:r>
    <w:r>
      <w:rPr>
        <w:sz w:val="18"/>
        <w:rFonts w:cs="Helvetica" w:ascii="Helvetica" w:hAnsi="Helvetica"/>
      </w:rPr>
      <w:fldChar w:fldCharType="separate"/>
    </w:r>
    <w:r>
      <w:rPr>
        <w:sz w:val="18"/>
        <w:rFonts w:cs="Helvetica" w:ascii="Helvetica" w:hAnsi="Helvetica"/>
      </w:rPr>
      <w:t>1</w:t>
    </w:r>
    <w:r>
      <w:rPr>
        <w:sz w:val="18"/>
        <w:rFonts w:cs="Helvetica" w:ascii="Helvetica" w:hAnsi="Helvetica"/>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
      </w:rPr>
    </w:pPr>
    <w:r>
      <w:rPr>
        <w:sz w:val="2"/>
      </w:rPr>
    </w:r>
    <w:r>
      <mc:AlternateContent>
        <mc:Choice Requires="wps">
          <w:drawing>
            <wp:anchor behindDoc="0" distT="0" distB="0" distL="0" distR="0" simplePos="0" locked="0" layoutInCell="0" allowOverlap="1" relativeHeight="2">
              <wp:simplePos x="0" y="0"/>
              <wp:positionH relativeFrom="page">
                <wp:posOffset>7407275</wp:posOffset>
              </wp:positionH>
              <wp:positionV relativeFrom="page">
                <wp:posOffset>635</wp:posOffset>
              </wp:positionV>
              <wp:extent cx="365760" cy="17081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70815"/>
                      </a:xfrm>
                      <a:prstGeom prst="rect"/>
                      <a:solidFill>
                        <a:srgbClr val="FFFFFF">
                          <a:alpha val="0"/>
                        </a:srgbClr>
                      </a:solidFill>
                    </wps:spPr>
                    <wps:txbx>
                      <w:txbxContent>
                        <w:p>
                          <w:pPr>
                            <w:pStyle w:val="Header"/>
                            <w:jc w:val="end"/>
                            <w:rPr>
                              <w:rStyle w:val="PageNumber"/>
                            </w:rPr>
                          </w:pPr>
                          <w:r>
                            <w:rPr/>
                          </w:r>
                        </w:p>
                      </w:txbxContent>
                    </wps:txbx>
                    <wps:bodyPr anchor="t" lIns="0" tIns="0" rIns="0" bIns="0">
                      <a:noAutofit/>
                    </wps:bodyPr>
                  </wps:wsp>
                </a:graphicData>
              </a:graphic>
            </wp:anchor>
          </w:drawing>
        </mc:Choice>
        <mc:Fallback>
          <w:pict>
            <v:rect fillcolor="#FFFFFF" style="position:absolute;rotation:-0;width:28.8pt;height:13.45pt;mso-wrap-distance-left:0pt;mso-wrap-distance-right:0pt;mso-wrap-distance-top:0pt;mso-wrap-distance-bottom:0pt;margin-top:0.05pt;mso-position-vertical-relative:page;margin-left:583.25pt;mso-position-horizontal-relative:page">
              <v:fill opacity="0f"/>
              <v:textbox inset="0in,0in,0in,0in">
                <w:txbxContent>
                  <w:p>
                    <w:pPr>
                      <w:pStyle w:val="Header"/>
                      <w:jc w:val="end"/>
                      <w:rPr>
                        <w:rStyle w:val="PageNumber"/>
                      </w:rPr>
                    </w:pPr>
                    <w:r>
                      <w:rPr/>
                    </w:r>
                  </w:p>
                </w:txbxContent>
              </v:textbox>
              <w10:wrap type="square"/>
            </v:rect>
          </w:pict>
        </mc:Fallback>
      </mc:AlternateContent>
    </w:r>
  </w:p>
  <w:tbl>
    <w:tblPr>
      <w:tblW w:w="9900" w:type="dxa"/>
      <w:jc w:val="start"/>
      <w:tblInd w:w="108" w:type="dxa"/>
      <w:tblLayout w:type="fixed"/>
      <w:tblCellMar>
        <w:top w:w="0" w:type="dxa"/>
        <w:start w:w="108" w:type="dxa"/>
        <w:bottom w:w="0" w:type="dxa"/>
        <w:end w:w="108" w:type="dxa"/>
      </w:tblCellMar>
    </w:tblPr>
    <w:tblGrid>
      <w:gridCol w:w="9900"/>
    </w:tblGrid>
    <w:tr>
      <w:trPr/>
      <w:tc>
        <w:tcPr>
          <w:tcW w:w="9900" w:type="dxa"/>
          <w:tcBorders>
            <w:bottom w:val="single" w:sz="6" w:space="0" w:color="000000"/>
          </w:tcBorders>
        </w:tcPr>
        <w:p>
          <w:pPr>
            <w:pStyle w:val="Header"/>
            <w:tabs>
              <w:tab w:val="clear" w:pos="4252"/>
              <w:tab w:val="clear" w:pos="8504"/>
              <w:tab w:val="right" w:pos="9882" w:leader="none"/>
            </w:tabs>
            <w:ind w:start="-108" w:end="-198"/>
            <w:rPr>
              <w:b w:val="false"/>
            </w:rPr>
          </w:pPr>
          <w:r>
            <w:rPr>
              <w:b w:val="false"/>
            </w:rPr>
            <w:t>Transportation Tariff</w:t>
          </w:r>
          <w:r>
            <w:rPr>
              <w:sz w:val="96"/>
            </w:rPr>
            <w:tab/>
          </w:r>
          <w:r>
            <w:rPr>
              <w:sz w:val="20"/>
            </w:rPr>
            <w:object w:dxaOrig="2866" w:dyaOrig="142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3.15pt;height:51.3pt" filled="f" o:ole="">
                <v:imagedata r:id="rId2" o:title=""/>
              </v:shape>
              <o:OLEObject Type="Embed" ProgID="" ShapeID="ole_rId1" DrawAspect="Content" ObjectID="_906997828" r:id="rId1"/>
            </w:object>
          </w:r>
        </w:p>
      </w:tc>
    </w:tr>
  </w:tbl>
  <w:p>
    <w:pPr>
      <w:pStyle w:val="Header"/>
      <w:tabs>
        <w:tab w:val="center" w:pos="4252" w:leader="none"/>
        <w:tab w:val="right" w:pos="8504" w:leader="none"/>
        <w:tab w:val="right" w:pos="9270" w:leader="none"/>
      </w:tabs>
      <w:rPr>
        <w:rFonts w:ascii="Frutiger TC" w:hAnsi="Frutiger TC" w:cs="Frutiger TC"/>
        <w:b w:val="false"/>
        <w:sz w:val="16"/>
      </w:rPr>
    </w:pPr>
    <w:r>
      <w:rPr>
        <w:rFonts w:cs="Frutiger TC" w:ascii="Frutiger TC" w:hAnsi="Frutiger TC"/>
        <w:sz w:val="16"/>
      </w:rPr>
      <w:t>FT TOLL SCHEDULE</w:t>
    </w:r>
  </w:p>
  <w:p>
    <w:pPr>
      <w:pStyle w:val="Header"/>
      <w:tabs>
        <w:tab w:val="center" w:pos="4252" w:leader="none"/>
        <w:tab w:val="right" w:pos="8504" w:leader="none"/>
        <w:tab w:val="right" w:pos="9360" w:leader="none"/>
      </w:tabs>
      <w:spacing w:lineRule="atLeast" w:line="480"/>
      <w:ind w:end="-720"/>
      <w:rPr>
        <w:rFonts w:ascii="Helvetica" w:hAnsi="Helvetica" w:cs="Helvetica"/>
        <w:b w:val="false"/>
        <w:sz w:val="16"/>
      </w:rPr>
    </w:pPr>
    <w:r>
      <w:rPr>
        <w:rFonts w:cs="Helvetica" w:ascii="Helvetica" w:hAnsi="Helvetica"/>
        <w:b w:val="false"/>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 York" w:hAnsi="New York" w:eastAsia="Times New Roman" w:cs="New York"/>
      <w:color w:val="auto"/>
      <w:sz w:val="24"/>
      <w:szCs w:val="20"/>
      <w:lang w:val="en-US" w:eastAsia="zh-CN" w:bidi="hi-IN"/>
    </w:rPr>
  </w:style>
  <w:style w:type="paragraph" w:styleId="Heading1">
    <w:name w:val="heading 1"/>
    <w:basedOn w:val="Normal"/>
    <w:next w:val="Normal"/>
    <w:qFormat/>
    <w:pPr>
      <w:keepNext w:val="true"/>
      <w:numPr>
        <w:ilvl w:val="0"/>
        <w:numId w:val="1"/>
      </w:numPr>
      <w:pBdr>
        <w:bottom w:val="single" w:sz="12" w:space="0" w:color="000000"/>
      </w:pBdr>
      <w:spacing w:lineRule="atLeast" w:line="480"/>
      <w:ind w:hanging="0" w:start="0" w:end="-720"/>
      <w:jc w:val="center"/>
      <w:outlineLvl w:val="0"/>
    </w:pPr>
    <w:rPr>
      <w:rFonts w:ascii="Helvetica" w:hAnsi="Helvetica" w:cs="Helvetica"/>
      <w:b/>
      <w:color w:val="0000FF"/>
      <w:spacing w:val="20"/>
      <w:sz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atLeast" w:line="480" w:before="240" w:after="0"/>
      <w:ind w:hanging="0" w:start="0" w:end="-720"/>
      <w:jc w:val="center"/>
    </w:pPr>
    <w:rPr>
      <w:rFonts w:ascii="Helvetica" w:hAnsi="Helvetica" w:cs="Helvetica"/>
      <w:b/>
      <w:spacing w:val="30"/>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1160" w:leader="none"/>
        <w:tab w:val="left" w:pos="8640" w:leader="dot"/>
      </w:tabs>
      <w:spacing w:lineRule="atLeast" w:line="480"/>
      <w:ind w:hanging="0" w:start="720" w:end="-80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tyle>
  <w:style w:type="paragraph" w:styleId="Header">
    <w:name w:val="header"/>
    <w:basedOn w:val="Normal"/>
    <w:pPr>
      <w:tabs>
        <w:tab w:val="clear" w:pos="720"/>
        <w:tab w:val="center" w:pos="4252" w:leader="none"/>
        <w:tab w:val="right" w:pos="8504" w:leader="none"/>
      </w:tabs>
    </w:pPr>
    <w:rPr>
      <w:rFonts w:ascii="Frutiger TC Condensed" w:hAnsi="Frutiger TC Condensed" w:cs="Frutiger TC Condensed"/>
      <w:b/>
    </w:rPr>
  </w:style>
  <w:style w:type="paragraph" w:styleId="std">
    <w:name w:val="std"/>
    <w:basedOn w:val="Normal"/>
    <w:qFormat/>
    <w:pPr>
      <w:tabs>
        <w:tab w:val="clear" w:pos="720"/>
        <w:tab w:val="left" w:pos="7200" w:leader="none"/>
        <w:tab w:val="left" w:pos="9619" w:leader="none"/>
      </w:tabs>
      <w:spacing w:lineRule="atLeast" w:line="360"/>
      <w:ind w:hanging="720" w:start="2880" w:end="-980"/>
    </w:pPr>
    <w:rPr>
      <w:sz w:val="20"/>
    </w:rPr>
  </w:style>
  <w:style w:type="paragraph" w:styleId="One">
    <w:name w:val="One"/>
    <w:basedOn w:val="Normal"/>
    <w:qFormat/>
    <w:pPr>
      <w:tabs>
        <w:tab w:val="clear" w:pos="720"/>
        <w:tab w:val="left" w:pos="2520" w:leader="none"/>
        <w:tab w:val="left" w:pos="3140" w:leader="none"/>
        <w:tab w:val="left" w:pos="3680" w:leader="none"/>
        <w:tab w:val="left" w:pos="4320" w:leader="none"/>
        <w:tab w:val="left" w:pos="4940" w:leader="none"/>
        <w:tab w:val="left" w:pos="5480" w:leader="none"/>
        <w:tab w:val="left" w:pos="6120" w:leader="none"/>
        <w:tab w:val="left" w:pos="7200" w:leader="none"/>
      </w:tabs>
      <w:spacing w:lineRule="atLeast" w:line="360" w:before="240" w:after="0"/>
      <w:ind w:hanging="720" w:start="1440" w:end="-900"/>
      <w:jc w:val="both"/>
    </w:pPr>
    <w:rPr>
      <w:sz w:val="20"/>
    </w:rPr>
  </w:style>
  <w:style w:type="paragraph" w:styleId="Two">
    <w:name w:val="Two"/>
    <w:basedOn w:val="Normal"/>
    <w:qFormat/>
    <w:pPr>
      <w:tabs>
        <w:tab w:val="clear" w:pos="720"/>
        <w:tab w:val="left" w:pos="3680" w:leader="none"/>
        <w:tab w:val="left" w:pos="4320" w:leader="none"/>
        <w:tab w:val="left" w:pos="4940" w:leader="none"/>
        <w:tab w:val="left" w:pos="5480" w:leader="none"/>
        <w:tab w:val="left" w:pos="6120" w:leader="none"/>
        <w:tab w:val="left" w:pos="6740" w:leader="none"/>
      </w:tabs>
      <w:spacing w:lineRule="atLeast" w:line="360" w:before="240" w:after="0"/>
      <w:ind w:hanging="720" w:start="2880" w:end="-900"/>
      <w:jc w:val="both"/>
    </w:pPr>
    <w:rPr>
      <w:sz w:val="20"/>
    </w:rPr>
  </w:style>
  <w:style w:type="paragraph" w:styleId="TWO1">
    <w:name w:val="TWO1"/>
    <w:basedOn w:val="Two"/>
    <w:qFormat/>
    <w:pPr>
      <w:tabs>
        <w:tab w:val="left" w:pos="1440" w:leader="none"/>
        <w:tab w:val="left" w:pos="3680" w:leader="none"/>
        <w:tab w:val="left" w:pos="4320" w:leader="none"/>
        <w:tab w:val="left" w:pos="4940" w:leader="none"/>
        <w:tab w:val="left" w:pos="5480" w:leader="none"/>
        <w:tab w:val="left" w:pos="6120" w:leader="none"/>
        <w:tab w:val="left" w:pos="6740" w:leader="none"/>
      </w:tabs>
      <w:ind w:hanging="2160" w:start="2160" w:end="-90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2001-03-02T22:11:00Z</dcterms:created>
  <dc:creator>TransCanada PipeLines</dc:creator>
  <dc:description/>
  <cp:keywords>Toll Schedule</cp:keywords>
  <dc:language>en-CA</dc:language>
  <cp:lastModifiedBy>Steve_Emond</cp:lastModifiedBy>
  <cp:lastPrinted>2000-03-16T14:09:00Z</cp:lastPrinted>
  <dcterms:modified xsi:type="dcterms:W3CDTF">2001-03-02T22:11:00Z</dcterms:modified>
  <cp:revision>2</cp:revision>
  <dc:subject>FT Toll Schedule - Tariff</dc:subject>
  <dc:title>Toll Schedule</dc:title>
</cp:coreProperties>
</file>