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lang w:val="en-CA"/>
        </w:rPr>
      </w:pPr>
      <w:r>
        <w:rPr>
          <w:b/>
          <w:lang w:val="en-CA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45920" cy="86106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42" r="-22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tLeast" w:line="360"/>
        <w:jc w:val="center"/>
        <w:rPr>
          <w:b/>
        </w:rPr>
      </w:pPr>
      <w:r>
        <w:rPr>
          <w:b/>
        </w:rPr>
        <w:t>2001 TOLLS TASK FORCE</w:t>
      </w:r>
    </w:p>
    <w:p>
      <w:pPr>
        <w:pStyle w:val="Normal"/>
        <w:jc w:val="center"/>
        <w:rPr>
          <w:b/>
        </w:rPr>
      </w:pPr>
      <w:r>
        <w:rPr>
          <w:b/>
        </w:rPr>
        <w:t>Sheraton Suites Eau Claire, Wildrose C room, Calgary</w:t>
      </w:r>
    </w:p>
    <w:p>
      <w:pPr>
        <w:pStyle w:val="Normal"/>
        <w:spacing w:before="120" w:after="0"/>
        <w:jc w:val="center"/>
        <w:rPr>
          <w:b/>
        </w:rPr>
      </w:pPr>
      <w:r>
        <w:rPr>
          <w:b/>
        </w:rPr>
        <w:t>Wednesday, April 18, 2001  9:00am – 5:00pm</w:t>
      </w:r>
    </w:p>
    <w:p>
      <w:pPr>
        <w:pStyle w:val="Normal"/>
        <w:jc w:val="center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43600" cy="0"/>
                <wp:effectExtent l="0" t="9525" r="0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.25pt" to="467.95pt,12.2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0" cy="6949440"/>
                <wp:effectExtent l="9525" t="0" r="9525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.25pt" to="0pt,559.4pt" stroked="t" o:allowincell="f" style="position:absolute;flip:y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5943600</wp:posOffset>
                </wp:positionH>
                <wp:positionV relativeFrom="paragraph">
                  <wp:posOffset>155575</wp:posOffset>
                </wp:positionV>
                <wp:extent cx="0" cy="6949440"/>
                <wp:effectExtent l="9525" t="0" r="9525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12.25pt" to="468pt,559.4pt" stroked="t" o:allowincell="f" style="position:absolute;flip:y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Chicago;Arial" w:hAnsi="Chicago;Arial" w:cs="Chicago;Arial"/>
          <w:b/>
          <w:sz w:val="36"/>
        </w:rPr>
      </w:pPr>
      <w:r>
        <w:rPr>
          <w:rFonts w:cs="Chicago;Arial" w:ascii="Chicago;Arial" w:hAnsi="Chicago;Arial"/>
          <w:b/>
          <w:sz w:val="36"/>
        </w:rPr>
      </w:r>
    </w:p>
    <w:p>
      <w:pPr>
        <w:pStyle w:val="Normal"/>
        <w:jc w:val="center"/>
        <w:rPr>
          <w:rFonts w:ascii="Chicago;Arial" w:hAnsi="Chicago;Arial" w:cs="Chicago;Arial"/>
          <w:sz w:val="16"/>
        </w:rPr>
      </w:pPr>
      <w:r>
        <w:rPr>
          <w:rFonts w:cs="Chicago;Arial" w:ascii="Chicago;Arial" w:hAnsi="Chicago;Arial"/>
          <w:sz w:val="36"/>
        </w:rPr>
        <w:t>Agenda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8280" w:leader="none"/>
        </w:tabs>
        <w:spacing w:lineRule="atLeast" w:line="360" w:before="240" w:after="0"/>
        <w:ind w:start="720" w:end="0"/>
        <w:jc w:val="both"/>
        <w:rPr>
          <w:b/>
        </w:rPr>
      </w:pPr>
      <w:r>
        <w:rPr>
          <w:b/>
        </w:rPr>
        <w:t>1.</w:t>
        <w:tab/>
        <w:t xml:space="preserve">Introduction and Welcome 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8280" w:leader="none"/>
        </w:tabs>
        <w:spacing w:lineRule="atLeast" w:line="480"/>
        <w:ind w:start="720" w:end="0"/>
        <w:jc w:val="both"/>
        <w:rPr>
          <w:b/>
        </w:rPr>
      </w:pPr>
      <w:r>
        <w:rPr>
          <w:b/>
        </w:rPr>
        <w:t>2.</w:t>
        <w:tab/>
        <w:t>Pipeline Update (Discussion)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sz w:val="20"/>
        </w:rPr>
      </w:pPr>
      <w:r>
        <w:rPr>
          <w:b/>
        </w:rPr>
        <w:t>3.</w:t>
        <w:tab/>
        <w:t>Review of the minutes of the March 6, 2001 &amp; April 6, 2001 meetings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620" w:leader="none"/>
          <w:tab w:val="left" w:pos="3600" w:leader="none"/>
        </w:tabs>
        <w:spacing w:lineRule="atLeast" w:line="480"/>
        <w:jc w:val="both"/>
        <w:rPr>
          <w:b/>
        </w:rPr>
      </w:pPr>
      <w:r>
        <w:rPr>
          <w:b/>
        </w:rPr>
        <w:t>Resolution by Vote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3600" w:leader="none"/>
        </w:tabs>
        <w:spacing w:lineRule="atLeast" w:line="0"/>
        <w:ind w:start="1260" w:end="0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</w:tabs>
        <w:ind w:start="720" w:end="0"/>
        <w:jc w:val="both"/>
        <w:rPr>
          <w:b/>
        </w:rPr>
      </w:pPr>
      <w:r>
        <w:rPr>
          <w:b/>
        </w:rPr>
        <w:t>5.</w:t>
        <w:tab/>
        <w:t>Update/Presentations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6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Facilities Update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6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Business Process Integration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/>
      </w:pPr>
      <w:r>
        <w:rPr>
          <w:b/>
        </w:rPr>
        <w:t>6.</w:t>
        <w:tab/>
        <w:t>Discussion of Issues</w:t>
      </w:r>
      <w:r>
        <w:rPr>
          <w:sz w:val="20"/>
        </w:rPr>
        <w:tab/>
        <w:tab/>
      </w:r>
    </w:p>
    <w:p>
      <w:pPr>
        <w:pStyle w:val="Normal"/>
        <w:tabs>
          <w:tab w:val="clear" w:pos="720"/>
          <w:tab w:val="left" w:pos="630" w:leader="none"/>
          <w:tab w:val="left" w:pos="1260" w:leader="none"/>
          <w:tab w:val="left" w:pos="1620" w:leader="none"/>
          <w:tab w:val="right" w:pos="9000" w:leader="none"/>
        </w:tabs>
        <w:ind w:start="720" w:end="0"/>
        <w:jc w:val="both"/>
        <w:rPr>
          <w:sz w:val="20"/>
        </w:rPr>
      </w:pPr>
      <w:r>
        <w:rPr>
          <w:sz w:val="20"/>
        </w:rPr>
        <w:tab/>
        <w:t>-</w:t>
        <w:tab/>
        <w:t>Issue D-31 – Adjustments to Cumulative Balancing Fees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D-32 – STS, FT Linkage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D-36 – Balancing/Operational Flow Order (OFO)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D-37 – Inventory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D-38 – S&amp;P Approval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C-14 – System Access &amp; Queuing Procedure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C-15 – Force Majeure Correction to Tariff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Issue B-12 – Seasonal MDQ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  <w:tab w:val="left" w:pos="126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b/>
        </w:rPr>
      </w:pPr>
      <w:r>
        <w:rPr>
          <w:b/>
        </w:rPr>
        <w:t>7.</w:t>
        <w:tab/>
        <w:t>New Issues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800" w:leader="none"/>
        </w:tabs>
        <w:jc w:val="both"/>
        <w:rPr>
          <w:sz w:val="20"/>
        </w:rPr>
      </w:pPr>
      <w:r>
        <w:rPr>
          <w:sz w:val="20"/>
        </w:rPr>
        <w:t>TransCanada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  <w:tab w:val="left" w:pos="1800" w:leader="none"/>
        </w:tabs>
        <w:ind w:start="720" w:end="0"/>
        <w:jc w:val="both"/>
        <w:rPr>
          <w:sz w:val="20"/>
        </w:rPr>
      </w:pPr>
      <w:r>
        <w:rPr>
          <w:sz w:val="20"/>
        </w:rPr>
        <w:tab/>
        <w:t>-     Other Members</w:t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3600" w:leader="none"/>
        </w:tabs>
        <w:spacing w:lineRule="atLeast" w:line="480"/>
        <w:jc w:val="both"/>
        <w:rPr>
          <w:b/>
          <w:sz w:val="20"/>
        </w:rPr>
      </w:pPr>
      <w:r>
        <w:rPr>
          <w:b/>
        </w:rPr>
        <w:t>Issues in Abeyance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800" w:leader="none"/>
          <w:tab w:val="right" w:pos="9000" w:leader="none"/>
          <w:tab w:val="left" w:pos="9270" w:leader="none"/>
        </w:tabs>
        <w:jc w:val="both"/>
        <w:rPr>
          <w:sz w:val="20"/>
        </w:rPr>
      </w:pPr>
      <w:r>
        <w:rPr>
          <w:sz w:val="20"/>
        </w:rPr>
        <w:t>Issue D-07 – Intraday Bumping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800" w:leader="none"/>
          <w:tab w:val="right" w:pos="9000" w:leader="none"/>
          <w:tab w:val="left" w:pos="9270" w:leader="none"/>
        </w:tabs>
        <w:jc w:val="both"/>
        <w:rPr>
          <w:sz w:val="20"/>
        </w:rPr>
      </w:pPr>
      <w:r>
        <w:rPr>
          <w:sz w:val="20"/>
        </w:rPr>
        <w:t>Issue D-29 – Code of Conduct – Affiliate Activities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3600" w:leader="none"/>
        </w:tabs>
        <w:spacing w:lineRule="atLeast" w:line="480"/>
        <w:jc w:val="both"/>
        <w:rPr>
          <w:b/>
        </w:rPr>
      </w:pPr>
      <w:r>
        <w:rPr>
          <w:b/>
        </w:rPr>
        <w:t>Other Business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60" w:leader="none"/>
          <w:tab w:val="left" w:pos="1800" w:leader="none"/>
          <w:tab w:val="right" w:pos="9000" w:leader="none"/>
        </w:tabs>
        <w:jc w:val="both"/>
        <w:rPr>
          <w:sz w:val="20"/>
        </w:rPr>
      </w:pPr>
      <w:r>
        <w:rPr>
          <w:sz w:val="20"/>
        </w:rPr>
        <w:t>Mainline Retirement Program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</w:tabs>
        <w:ind w:start="1256" w:end="0"/>
        <w:jc w:val="both"/>
        <w:rPr>
          <w:sz w:val="20"/>
        </w:rPr>
      </w:pPr>
      <w:r>
        <w:rPr>
          <w:sz w:val="20"/>
        </w:rPr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</w:tabs>
        <w:jc w:val="both"/>
        <w:rPr>
          <w:b/>
        </w:rPr>
      </w:pPr>
      <w:r>
        <w:rPr>
          <w:b/>
        </w:rPr>
        <w:t>Next Meetings:</w:t>
        <w:tab/>
      </w:r>
    </w:p>
    <w:p>
      <w:pPr>
        <w:pStyle w:val="Normal"/>
        <w:tabs>
          <w:tab w:val="clear" w:pos="720"/>
          <w:tab w:val="left" w:pos="1260" w:leader="none"/>
          <w:tab w:val="left" w:pos="1620" w:leader="none"/>
        </w:tabs>
        <w:ind w:start="1256" w:end="0"/>
        <w:rPr/>
      </w:pPr>
      <w:r>
        <w:rPr>
          <w:b/>
          <w:sz w:val="20"/>
        </w:rPr>
        <w:tab/>
        <w:tab/>
      </w:r>
      <w:r>
        <w:rPr>
          <w:sz w:val="20"/>
        </w:rPr>
        <w:t xml:space="preserve">May 30 - 31, 2001  Quebec City  </w:t>
      </w:r>
    </w:p>
    <w:p>
      <w:pPr>
        <w:pStyle w:val="Normal"/>
        <w:tabs>
          <w:tab w:val="clear" w:pos="720"/>
          <w:tab w:val="left" w:pos="1260" w:leader="none"/>
          <w:tab w:val="left" w:pos="1620" w:leader="none"/>
        </w:tabs>
        <w:ind w:start="1256" w:end="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1800" w:leader="none"/>
          <w:tab w:val="right" w:pos="9000" w:leader="none"/>
        </w:tabs>
        <w:jc w:val="both"/>
        <w:rPr>
          <w:b/>
        </w:rPr>
      </w:pPr>
      <w:r>
        <w:rPr>
          <w:b/>
        </w:rPr>
        <w:t>Adjournment</w:t>
      </w:r>
    </w:p>
    <w:p>
      <w:pPr>
        <w:pStyle w:val="Normal"/>
        <w:tabs>
          <w:tab w:val="clear" w:pos="720"/>
          <w:tab w:val="left" w:pos="1620" w:leader="none"/>
          <w:tab w:val="left" w:pos="1800" w:leader="none"/>
          <w:tab w:val="right" w:pos="9000" w:leader="none"/>
        </w:tabs>
        <w:ind w:start="720" w:end="0"/>
        <w:jc w:val="both"/>
        <w:rPr>
          <w:b/>
          <w:sz w:val="4"/>
          <w:lang w:val="en-CA"/>
        </w:rPr>
      </w:pPr>
      <w:r>
        <w:rPr>
          <w:b/>
          <w:sz w:val="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5943600" cy="0"/>
                <wp:effectExtent l="0" t="9525" r="0" b="952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7pt" to="467.95pt,28.7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sectPr>
      <w:headerReference w:type="default" r:id="rId3"/>
      <w:type w:val="nextPage"/>
      <w:pgSz w:w="12240" w:h="15840"/>
      <w:pgMar w:left="1440" w:right="144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TC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hicago">
    <w:altName w:val="Arial"/>
    <w:charset w:val="00" w:characterSet="windows-125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>
        <w:sz w:val="32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8"/>
      <w:numFmt w:val="decimal"/>
      <w:lvlText w:val="%1."/>
      <w:lvlJc w:val="start"/>
      <w:pPr>
        <w:tabs>
          <w:tab w:val="num" w:pos="1256"/>
        </w:tabs>
        <w:ind w:start="1256" w:hanging="536"/>
      </w:pPr>
      <w:rPr/>
    </w:lvl>
  </w:abstractNum>
  <w:abstractNum w:abstractNumId="3">
    <w:lvl w:ilvl="0">
      <w:start w:val="6"/>
      <w:numFmt w:val="bullet"/>
      <w:lvlText w:val="-"/>
      <w:lvlJc w:val="start"/>
      <w:pPr>
        <w:tabs>
          <w:tab w:val="num" w:pos="1620"/>
        </w:tabs>
        <w:ind w:start="162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1260"/>
        </w:tabs>
        <w:ind w:start="1260" w:hanging="540"/>
      </w:pPr>
      <w:rPr/>
    </w:lvl>
  </w:abstractNum>
  <w:abstractNum w:abstractNumId="5">
    <w:lvl w:ilvl="0">
      <w:start w:val="5"/>
      <w:numFmt w:val="bullet"/>
      <w:lvlText w:val="-"/>
      <w:lvlJc w:val="start"/>
      <w:pPr>
        <w:tabs>
          <w:tab w:val="num" w:pos="1620"/>
        </w:tabs>
        <w:ind w:start="16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Helvetica" w:hAnsi="Helvetica" w:eastAsia="Times New Roman" w:cs="Helvetica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C" w:hAnsi="TC" w:cs="TC"/>
      <w:sz w:val="120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36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2001-04-11T18:50:00Z</dcterms:created>
  <dc:creator>TransCanada PipeLines</dc:creator>
  <dc:description/>
  <dc:language>en-CA</dc:language>
  <cp:lastModifiedBy>Marg_Seeger</cp:lastModifiedBy>
  <cp:lastPrinted>2001-04-11T14:44:00Z</cp:lastPrinted>
  <dcterms:modified xsi:type="dcterms:W3CDTF">2001-04-11T18:50:00Z</dcterms:modified>
  <cp:revision>2</cp:revision>
  <dc:subject/>
  <dc:title>96 TTF AGDA-JAN11/95</dc:title>
</cp:coreProperties>
</file>