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sz w:val="22"/>
        </w:rPr>
      </w:pPr>
      <w:r>
        <w:rPr>
          <w:b w:val="false"/>
          <w:sz w:val="22"/>
        </w:rPr>
        <w:drawing>
          <wp:inline distT="0" distB="0" distL="0" distR="0">
            <wp:extent cx="653415" cy="647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53415" cy="647700"/>
                    </a:xfrm>
                    <a:prstGeom prst="rect">
                      <a:avLst/>
                    </a:prstGeom>
                    <a:noFill/>
                  </pic:spPr>
                </pic:pic>
              </a:graphicData>
            </a:graphic>
          </wp:inline>
        </w:drawing>
      </w:r>
    </w:p>
    <w:p>
      <w:pPr>
        <w:pStyle w:val="Normal"/>
        <w:rPr>
          <w:b/>
          <w:sz w:val="22"/>
        </w:rPr>
      </w:pPr>
      <w:r>
        <w:rPr>
          <w:b/>
          <w:sz w:val="22"/>
        </w:rPr>
      </w:r>
    </w:p>
    <w:p>
      <w:pPr>
        <w:pStyle w:val="Heading1"/>
        <w:pBdr>
          <w:top w:val="single" w:sz="18" w:space="0" w:color="000000"/>
        </w:pBdr>
        <w:spacing w:before="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2"/>
              </w:rPr>
            </w:pPr>
            <w:r>
              <w:rPr>
                <w:b/>
                <w:sz w:val="22"/>
              </w:rPr>
              <w:t>To:</w:t>
            </w:r>
          </w:p>
        </w:tc>
        <w:tc>
          <w:tcPr>
            <w:tcW w:w="4770" w:type="dxa"/>
            <w:tcBorders/>
          </w:tcPr>
          <w:p>
            <w:pPr>
              <w:pStyle w:val="To"/>
              <w:rPr>
                <w:sz w:val="22"/>
              </w:rPr>
            </w:pPr>
            <w:bookmarkStart w:id="0" w:name="To"/>
            <w:bookmarkEnd w:id="0"/>
            <w:r>
              <w:rPr>
                <w:sz w:val="22"/>
              </w:rPr>
              <w:t>Kevin Markovich</w:t>
            </w:r>
          </w:p>
        </w:tc>
      </w:tr>
      <w:tr>
        <w:trPr/>
        <w:tc>
          <w:tcPr>
            <w:tcW w:w="3168" w:type="dxa"/>
            <w:tcBorders/>
          </w:tcPr>
          <w:p>
            <w:pPr>
              <w:pStyle w:val="Normal"/>
              <w:jc w:val="end"/>
              <w:rPr>
                <w:b/>
                <w:sz w:val="22"/>
              </w:rPr>
            </w:pPr>
            <w:r>
              <w:rPr>
                <w:b/>
                <w:sz w:val="22"/>
              </w:rPr>
              <w:t>Company:</w:t>
            </w:r>
          </w:p>
        </w:tc>
        <w:tc>
          <w:tcPr>
            <w:tcW w:w="4770" w:type="dxa"/>
            <w:tcBorders/>
          </w:tcPr>
          <w:p>
            <w:pPr>
              <w:pStyle w:val="ToCompany"/>
              <w:rPr>
                <w:sz w:val="22"/>
              </w:rPr>
            </w:pPr>
            <w:bookmarkStart w:id="1" w:name="ToCompany"/>
            <w:bookmarkEnd w:id="1"/>
            <w:r>
              <w:rPr>
                <w:sz w:val="22"/>
              </w:rPr>
              <w:t>Montana Power Company</w:t>
            </w:r>
          </w:p>
        </w:tc>
      </w:tr>
      <w:tr>
        <w:trPr/>
        <w:tc>
          <w:tcPr>
            <w:tcW w:w="3168" w:type="dxa"/>
            <w:tcBorders/>
          </w:tcPr>
          <w:p>
            <w:pPr>
              <w:pStyle w:val="Normal"/>
              <w:jc w:val="end"/>
              <w:rPr>
                <w:b/>
                <w:sz w:val="22"/>
              </w:rPr>
            </w:pPr>
            <w:r>
              <w:rPr>
                <w:b/>
                <w:sz w:val="22"/>
              </w:rPr>
              <w:t>Phone:</w:t>
            </w:r>
          </w:p>
        </w:tc>
        <w:tc>
          <w:tcPr>
            <w:tcW w:w="4770" w:type="dxa"/>
            <w:tcBorders/>
          </w:tcPr>
          <w:p>
            <w:pPr>
              <w:pStyle w:val="ToPhone"/>
              <w:rPr>
                <w:sz w:val="22"/>
              </w:rPr>
            </w:pPr>
            <w:bookmarkStart w:id="2" w:name="ToPhone"/>
            <w:bookmarkEnd w:id="2"/>
            <w:r>
              <w:rPr>
                <w:sz w:val="22"/>
              </w:rPr>
              <w:t>(406) 496-5476</w:t>
            </w:r>
          </w:p>
        </w:tc>
      </w:tr>
      <w:tr>
        <w:trPr/>
        <w:tc>
          <w:tcPr>
            <w:tcW w:w="3168" w:type="dxa"/>
            <w:tcBorders/>
          </w:tcPr>
          <w:p>
            <w:pPr>
              <w:pStyle w:val="Normal"/>
              <w:jc w:val="end"/>
              <w:rPr>
                <w:b/>
                <w:sz w:val="22"/>
              </w:rPr>
            </w:pPr>
            <w:r>
              <w:rPr>
                <w:b/>
                <w:sz w:val="22"/>
              </w:rPr>
              <w:t>Fax:</w:t>
            </w:r>
          </w:p>
        </w:tc>
        <w:tc>
          <w:tcPr>
            <w:tcW w:w="4770" w:type="dxa"/>
            <w:tcBorders/>
          </w:tcPr>
          <w:p>
            <w:pPr>
              <w:pStyle w:val="ToFax"/>
              <w:rPr>
                <w:sz w:val="22"/>
              </w:rPr>
            </w:pPr>
            <w:bookmarkStart w:id="3" w:name="ToFax"/>
            <w:bookmarkEnd w:id="3"/>
            <w:r>
              <w:rPr>
                <w:sz w:val="22"/>
              </w:rPr>
              <w:t>406-723-0017</w:t>
            </w:r>
          </w:p>
        </w:tc>
      </w:tr>
      <w:tr>
        <w:trPr/>
        <w:tc>
          <w:tcPr>
            <w:tcW w:w="3168" w:type="dxa"/>
            <w:tcBorders/>
          </w:tcPr>
          <w:p>
            <w:pPr>
              <w:pStyle w:val="Normal"/>
              <w:spacing w:before="360" w:after="0"/>
              <w:jc w:val="end"/>
              <w:rPr>
                <w:b/>
                <w:sz w:val="22"/>
              </w:rPr>
            </w:pPr>
            <w:r>
              <w:rPr>
                <w:b/>
                <w:sz w:val="22"/>
              </w:rPr>
              <w:t>From:</w:t>
            </w:r>
          </w:p>
        </w:tc>
        <w:tc>
          <w:tcPr>
            <w:tcW w:w="4770" w:type="dxa"/>
            <w:tcBorders/>
          </w:tcPr>
          <w:p>
            <w:pPr>
              <w:pStyle w:val="From"/>
              <w:spacing w:before="360" w:after="0"/>
              <w:rPr>
                <w:sz w:val="22"/>
              </w:rPr>
            </w:pPr>
            <w:bookmarkStart w:id="4" w:name="From"/>
            <w:bookmarkEnd w:id="4"/>
            <w:r>
              <w:rPr>
                <w:sz w:val="22"/>
              </w:rPr>
              <w:t>John D. Malowney</w:t>
            </w:r>
          </w:p>
        </w:tc>
      </w:tr>
      <w:tr>
        <w:trPr/>
        <w:tc>
          <w:tcPr>
            <w:tcW w:w="3168" w:type="dxa"/>
            <w:tcBorders/>
          </w:tcPr>
          <w:p>
            <w:pPr>
              <w:pStyle w:val="Normal"/>
              <w:jc w:val="end"/>
              <w:rPr>
                <w:b/>
                <w:sz w:val="22"/>
              </w:rPr>
            </w:pPr>
            <w:r>
              <w:rPr>
                <w:b/>
                <w:sz w:val="22"/>
              </w:rPr>
              <w:t>Company:</w:t>
            </w:r>
          </w:p>
        </w:tc>
        <w:tc>
          <w:tcPr>
            <w:tcW w:w="4770" w:type="dxa"/>
            <w:tcBorders/>
          </w:tcPr>
          <w:p>
            <w:pPr>
              <w:pStyle w:val="FromCompany"/>
              <w:rPr>
                <w:sz w:val="22"/>
              </w:rPr>
            </w:pPr>
            <w:bookmarkStart w:id="5" w:name="FromCompany"/>
            <w:bookmarkEnd w:id="5"/>
            <w:r>
              <w:rPr>
                <w:sz w:val="22"/>
              </w:rPr>
              <w:t>Enron</w:t>
            </w:r>
          </w:p>
        </w:tc>
      </w:tr>
      <w:tr>
        <w:trPr/>
        <w:tc>
          <w:tcPr>
            <w:tcW w:w="3168" w:type="dxa"/>
            <w:tcBorders/>
          </w:tcPr>
          <w:p>
            <w:pPr>
              <w:pStyle w:val="Normal"/>
              <w:jc w:val="end"/>
              <w:rPr>
                <w:b/>
                <w:sz w:val="22"/>
              </w:rPr>
            </w:pPr>
            <w:r>
              <w:rPr>
                <w:b/>
                <w:sz w:val="22"/>
              </w:rPr>
              <w:t>Phone:</w:t>
            </w:r>
          </w:p>
        </w:tc>
        <w:tc>
          <w:tcPr>
            <w:tcW w:w="4770" w:type="dxa"/>
            <w:tcBorders/>
          </w:tcPr>
          <w:p>
            <w:pPr>
              <w:pStyle w:val="FromPhone"/>
              <w:rPr>
                <w:sz w:val="22"/>
              </w:rPr>
            </w:pPr>
            <w:bookmarkStart w:id="6" w:name="FromPhone"/>
            <w:bookmarkEnd w:id="6"/>
            <w:r>
              <w:rPr>
                <w:sz w:val="22"/>
              </w:rPr>
              <w:t>503-464-2270</w:t>
            </w:r>
          </w:p>
        </w:tc>
      </w:tr>
      <w:tr>
        <w:trPr/>
        <w:tc>
          <w:tcPr>
            <w:tcW w:w="3168" w:type="dxa"/>
            <w:tcBorders/>
          </w:tcPr>
          <w:p>
            <w:pPr>
              <w:pStyle w:val="Normal"/>
              <w:jc w:val="end"/>
              <w:rPr>
                <w:b/>
                <w:sz w:val="22"/>
              </w:rPr>
            </w:pPr>
            <w:r>
              <w:rPr>
                <w:b/>
                <w:sz w:val="22"/>
              </w:rPr>
              <w:t>Fax:</w:t>
            </w:r>
          </w:p>
        </w:tc>
        <w:tc>
          <w:tcPr>
            <w:tcW w:w="4770" w:type="dxa"/>
            <w:tcBorders/>
          </w:tcPr>
          <w:p>
            <w:pPr>
              <w:pStyle w:val="FromFax"/>
              <w:rPr>
                <w:sz w:val="22"/>
              </w:rPr>
            </w:pPr>
            <w:bookmarkStart w:id="7" w:name="FromFax"/>
            <w:bookmarkEnd w:id="7"/>
            <w:r>
              <w:rPr>
                <w:sz w:val="22"/>
              </w:rPr>
              <w:t>503-464-3740</w:t>
            </w:r>
          </w:p>
        </w:tc>
      </w:tr>
      <w:tr>
        <w:trPr/>
        <w:tc>
          <w:tcPr>
            <w:tcW w:w="3168" w:type="dxa"/>
            <w:tcBorders/>
          </w:tcPr>
          <w:p>
            <w:pPr>
              <w:pStyle w:val="Normal"/>
              <w:spacing w:before="360" w:after="0"/>
              <w:jc w:val="end"/>
              <w:rPr>
                <w:b/>
                <w:sz w:val="22"/>
              </w:rPr>
            </w:pPr>
            <w:r>
              <w:rPr>
                <w:b/>
                <w:sz w:val="22"/>
              </w:rPr>
              <w:t>Date:</w:t>
            </w:r>
          </w:p>
        </w:tc>
        <w:tc>
          <w:tcPr>
            <w:tcW w:w="4770" w:type="dxa"/>
            <w:tcBorders/>
          </w:tcPr>
          <w:p>
            <w:pPr>
              <w:pStyle w:val="Date"/>
              <w:spacing w:before="360" w:after="0"/>
              <w:rPr>
                <w:sz w:val="22"/>
              </w:rPr>
            </w:pPr>
            <w:bookmarkStart w:id="8" w:name="Date"/>
            <w:bookmarkEnd w:id="8"/>
            <w:r>
              <w:rPr>
                <w:sz w:val="22"/>
              </w:rPr>
              <w:t>May 18, 2001</w:t>
            </w:r>
          </w:p>
        </w:tc>
      </w:tr>
      <w:tr>
        <w:trPr/>
        <w:tc>
          <w:tcPr>
            <w:tcW w:w="3168" w:type="dxa"/>
            <w:tcBorders/>
          </w:tcPr>
          <w:p>
            <w:pPr>
              <w:pStyle w:val="Normal"/>
              <w:jc w:val="end"/>
              <w:rPr>
                <w:b/>
                <w:sz w:val="22"/>
              </w:rPr>
            </w:pPr>
            <w:r>
              <w:rPr>
                <w:b/>
                <w:sz w:val="22"/>
              </w:rPr>
              <w:t>Pages including this cover page:</w:t>
            </w:r>
          </w:p>
        </w:tc>
        <w:tc>
          <w:tcPr>
            <w:tcW w:w="4770" w:type="dxa"/>
            <w:tcBorders/>
          </w:tcPr>
          <w:p>
            <w:pPr>
              <w:pStyle w:val="Pages"/>
              <w:rPr>
                <w:sz w:val="22"/>
              </w:rPr>
            </w:pPr>
            <w:bookmarkStart w:id="9" w:name="Pages"/>
            <w:bookmarkEnd w:id="9"/>
            <w:r>
              <w:rPr>
                <w:sz w:val="22"/>
              </w:rPr>
              <w:t>2</w:t>
            </w:r>
          </w:p>
        </w:tc>
      </w:tr>
    </w:tbl>
    <w:p>
      <w:pPr>
        <w:pStyle w:val="BodyText"/>
        <w:rPr/>
      </w:pPr>
      <w:r>
        <w:rPr/>
      </w:r>
    </w:p>
    <w:p>
      <w:pPr>
        <w:pStyle w:val="BodyText"/>
        <w:rPr/>
      </w:pPr>
      <w:r>
        <w:rPr/>
        <w:t xml:space="preserve">Comments:  Kevin, attached is Enron Power Marketing Inc. (EPMI) bid to purchase energy from Montana Power Company (MPC). There is a difference in price from our previous transactions due to EPMI’s concerns relating to potential transmission “constraints” the result of recent changes in regional loads (Columbia Falls and Kaiser Aluminum and the Rathdrum II project).  As before, please verify your approval of the proposed transaction via written correspondence.  In approximately one week EPMI will issue a binding confirmation to MPC.  Thanks again, we appreciate the opportunity of being able to work together.  </w:t>
      </w:r>
    </w:p>
    <w:p>
      <w:pPr>
        <w:pStyle w:val="BodyText"/>
        <w:rPr/>
      </w:pPr>
      <w:r>
        <w:rPr/>
      </w:r>
    </w:p>
    <w:p>
      <w:pPr>
        <w:pStyle w:val="BodyText"/>
        <w:rPr/>
      </w:pPr>
      <w:r>
        <w:rPr/>
      </w:r>
    </w:p>
    <w:p>
      <w:pPr>
        <w:pStyle w:val="BodyText"/>
        <w:rPr/>
      </w:pPr>
      <w:r>
        <w:rPr/>
        <w:t>Seller:</w:t>
        <w:tab/>
        <w:tab/>
        <w:tab/>
        <w:t>MPC</w:t>
      </w:r>
    </w:p>
    <w:p>
      <w:pPr>
        <w:pStyle w:val="BodyText"/>
        <w:rPr/>
      </w:pPr>
      <w:r>
        <w:rPr/>
      </w:r>
    </w:p>
    <w:p>
      <w:pPr>
        <w:pStyle w:val="BodyText"/>
        <w:rPr/>
      </w:pPr>
      <w:r>
        <w:rPr/>
        <w:t>Buyer:</w:t>
        <w:tab/>
        <w:tab/>
        <w:tab/>
        <w:t>EPMI</w:t>
      </w:r>
    </w:p>
    <w:p>
      <w:pPr>
        <w:pStyle w:val="BodyText"/>
        <w:rPr/>
      </w:pPr>
      <w:r>
        <w:rPr/>
      </w:r>
    </w:p>
    <w:p>
      <w:pPr>
        <w:pStyle w:val="BodyText"/>
        <w:rPr/>
      </w:pPr>
      <w:r>
        <w:rPr/>
        <w:t>Commodity:</w:t>
        <w:tab/>
        <w:tab/>
        <w:t>Contractually and financially firm energy.</w:t>
      </w:r>
    </w:p>
    <w:p>
      <w:pPr>
        <w:pStyle w:val="BodyText"/>
        <w:rPr/>
      </w:pPr>
      <w:r>
        <w:rPr/>
      </w:r>
    </w:p>
    <w:p>
      <w:pPr>
        <w:pStyle w:val="BodyText"/>
        <w:rPr/>
      </w:pPr>
      <w:r>
        <w:rPr/>
        <w:t>Quantity:</w:t>
        <w:tab/>
        <w:tab/>
        <w:t xml:space="preserve">50MW </w:t>
      </w:r>
    </w:p>
    <w:p>
      <w:pPr>
        <w:pStyle w:val="BodyText"/>
        <w:rPr/>
      </w:pPr>
      <w:r>
        <w:rPr/>
      </w:r>
    </w:p>
    <w:p>
      <w:pPr>
        <w:pStyle w:val="BodyText"/>
        <w:rPr/>
      </w:pPr>
      <w:r>
        <w:rPr/>
        <w:t>Load Factor:</w:t>
        <w:tab/>
        <w:tab/>
        <w:t xml:space="preserve">100% “flat” </w:t>
      </w:r>
    </w:p>
    <w:p>
      <w:pPr>
        <w:pStyle w:val="BodyText"/>
        <w:rPr/>
      </w:pPr>
      <w:r>
        <w:rPr/>
      </w:r>
    </w:p>
    <w:p>
      <w:pPr>
        <w:pStyle w:val="BodyText"/>
        <w:rPr/>
      </w:pPr>
      <w:r>
        <w:rPr/>
        <w:t>Delivery Point:</w:t>
        <w:tab/>
        <w:tab/>
        <w:t>Priority approach dependent upon availability.</w:t>
      </w:r>
    </w:p>
    <w:p>
      <w:pPr>
        <w:pStyle w:val="BodyText"/>
        <w:rPr/>
      </w:pPr>
      <w:r>
        <w:rPr/>
      </w:r>
    </w:p>
    <w:p>
      <w:pPr>
        <w:pStyle w:val="BodyText"/>
        <w:numPr>
          <w:ilvl w:val="0"/>
          <w:numId w:val="2"/>
        </w:numPr>
        <w:tabs>
          <w:tab w:val="clear" w:pos="720"/>
          <w:tab w:val="left" w:pos="2520" w:leader="none"/>
        </w:tabs>
        <w:ind w:hanging="360" w:start="2520" w:end="0"/>
        <w:rPr/>
      </w:pPr>
      <w:r>
        <w:rPr/>
        <w:t>Colstrip Units 3 &amp; 4.</w:t>
      </w:r>
    </w:p>
    <w:p>
      <w:pPr>
        <w:pStyle w:val="BodyText"/>
        <w:ind w:firstLine="720" w:start="1440" w:end="0"/>
        <w:rPr/>
      </w:pPr>
      <w:r>
        <w:rPr/>
      </w:r>
    </w:p>
    <w:p>
      <w:pPr>
        <w:pStyle w:val="BodyText"/>
        <w:numPr>
          <w:ilvl w:val="0"/>
          <w:numId w:val="2"/>
        </w:numPr>
        <w:tabs>
          <w:tab w:val="clear" w:pos="720"/>
          <w:tab w:val="left" w:pos="2520" w:leader="none"/>
        </w:tabs>
        <w:ind w:hanging="360" w:start="2520" w:end="0"/>
        <w:rPr/>
      </w:pPr>
      <w:r>
        <w:rPr/>
        <w:t>Any generation source within MPC’s service territory.</w:t>
      </w:r>
    </w:p>
    <w:p>
      <w:pPr>
        <w:pStyle w:val="BodyText"/>
        <w:ind w:firstLine="720" w:start="1440" w:end="0"/>
        <w:rPr/>
      </w:pPr>
      <w:r>
        <w:rPr/>
      </w:r>
    </w:p>
    <w:p>
      <w:pPr>
        <w:pStyle w:val="BodyText"/>
        <w:numPr>
          <w:ilvl w:val="0"/>
          <w:numId w:val="2"/>
        </w:numPr>
        <w:tabs>
          <w:tab w:val="clear" w:pos="720"/>
          <w:tab w:val="left" w:pos="2520" w:leader="none"/>
        </w:tabs>
        <w:ind w:hanging="360" w:start="2520" w:end="0"/>
        <w:rPr/>
      </w:pPr>
      <w:r>
        <w:rPr/>
        <w:t>Mid-Columbia (MC) without transmission rights.</w:t>
      </w:r>
    </w:p>
    <w:p>
      <w:pPr>
        <w:pStyle w:val="BodyText"/>
        <w:rPr/>
      </w:pPr>
      <w:r>
        <w:rPr/>
      </w:r>
    </w:p>
    <w:p>
      <w:pPr>
        <w:pStyle w:val="BodyText"/>
        <w:rPr/>
      </w:pPr>
      <w:r>
        <w:rPr/>
        <w:t>Term:</w:t>
        <w:tab/>
        <w:tab/>
        <w:tab/>
        <w:t>June 1, 2001 through and including July 31, 2001.</w:t>
      </w:r>
    </w:p>
    <w:p>
      <w:pPr>
        <w:pStyle w:val="BodyText"/>
        <w:rPr/>
      </w:pPr>
      <w:r>
        <w:rPr/>
      </w:r>
    </w:p>
    <w:p>
      <w:pPr>
        <w:pStyle w:val="BodyText"/>
        <w:rPr/>
      </w:pPr>
      <w:r>
        <w:rPr/>
        <w:t>Price:</w:t>
        <w:tab/>
        <w:tab/>
        <w:tab/>
        <w:t>Mid-Columbia Index minus (-)  $5.50/MWh</w:t>
      </w:r>
    </w:p>
    <w:p>
      <w:pPr>
        <w:pStyle w:val="BodyText"/>
        <w:rPr/>
      </w:pPr>
      <w:r>
        <w:rPr/>
      </w:r>
    </w:p>
    <w:p>
      <w:pPr>
        <w:pStyle w:val="BodyText"/>
        <w:ind w:hanging="2160" w:start="2160" w:end="0"/>
        <w:rPr/>
      </w:pPr>
      <w:r>
        <w:rPr/>
        <w:t>Scheduling:</w:t>
        <w:tab/>
        <w:t>MPC and Enron agree on scheduling provisions consistent with WSCC industry standard practice.</w:t>
      </w:r>
    </w:p>
    <w:p>
      <w:pPr>
        <w:pStyle w:val="BodyText"/>
        <w:rPr/>
      </w:pPr>
      <w:r>
        <w:rPr/>
      </w:r>
    </w:p>
    <w:p>
      <w:pPr>
        <w:pStyle w:val="BodyText"/>
        <w:rPr/>
      </w:pPr>
      <w:r>
        <w:rPr/>
        <w:t>Billing:</w:t>
        <w:tab/>
        <w:tab/>
        <w:tab/>
        <w:t xml:space="preserve">MPC will bill EPMI </w:t>
      </w:r>
    </w:p>
    <w:p>
      <w:pPr>
        <w:pStyle w:val="BodyText"/>
        <w:rPr/>
      </w:pPr>
      <w:r>
        <w:rPr/>
      </w:r>
    </w:p>
    <w:p>
      <w:pPr>
        <w:pStyle w:val="BodyText"/>
        <w:rPr/>
      </w:pPr>
      <w:r>
        <w:rPr/>
        <w:t>Transmission:</w:t>
        <w:tab/>
        <w:tab/>
        <w:t>There is no Transmission associated with this transaction.</w:t>
      </w:r>
    </w:p>
    <w:p>
      <w:pPr>
        <w:pStyle w:val="BodyText"/>
        <w:rPr/>
      </w:pPr>
      <w:r>
        <w:rPr/>
      </w:r>
    </w:p>
    <w:p>
      <w:pPr>
        <w:pStyle w:val="BodyText"/>
        <w:ind w:hanging="2160" w:start="2160" w:end="0"/>
        <w:rPr/>
      </w:pPr>
      <w:r>
        <w:rPr/>
        <w:t>MC Index:</w:t>
        <w:tab/>
        <w:t xml:space="preserve">Mid-Columbia (MC) Index means the daily Dow Jones MC Electricity Price Index for Firm power. The MC index will be the monthly weighted average of the Firm daily Mid-Columbia (MC) On-Peak, Off-Peak, and Sunday Only prices for electricity traded at the MC quoted in dollars per megawatt hour.  </w:t>
      </w:r>
    </w:p>
    <w:p>
      <w:pPr>
        <w:pStyle w:val="BodyText"/>
        <w:rPr/>
      </w:pPr>
      <w:r>
        <w:rPr/>
      </w:r>
    </w:p>
    <w:p>
      <w:pPr>
        <w:pStyle w:val="BodyText"/>
        <w:rPr/>
      </w:pPr>
      <w:r>
        <w:rPr/>
        <w:t>Thanks again and please do not hesitate to give me a call if you have any questions.</w:t>
      </w:r>
    </w:p>
    <w:p>
      <w:pPr>
        <w:pStyle w:val="BodyText"/>
        <w:rPr/>
      </w:pPr>
      <w:r>
        <w:rPr/>
      </w:r>
    </w:p>
    <w:p>
      <w:pPr>
        <w:pStyle w:val="BodyText"/>
        <w:rPr/>
      </w:pPr>
      <w:r>
        <w:rPr/>
        <w:t>JOHN</w:t>
      </w:r>
    </w:p>
    <w:p>
      <w:pPr>
        <w:pStyle w:val="ToCompany"/>
        <w:rPr>
          <w:sz w:val="22"/>
        </w:rPr>
      </w:pPr>
      <w:r>
        <w:rPr>
          <w:sz w:val="22"/>
        </w:rPr>
      </w:r>
    </w:p>
    <w:p>
      <w:pPr>
        <w:pStyle w:val="Normal"/>
        <w:rPr>
          <w:sz w:val="24"/>
        </w:rPr>
      </w:pPr>
      <w:r>
        <w:rPr>
          <w:sz w:val="24"/>
        </w:rPr>
      </w:r>
    </w:p>
    <w:p>
      <w:pPr>
        <w:pStyle w:val="Normal"/>
        <w:rPr>
          <w:sz w:val="24"/>
        </w:rPr>
      </w:pPr>
      <w:r>
        <w:rPr>
          <w:sz w:val="24"/>
        </w:rPr>
      </w:r>
    </w:p>
    <w:sectPr>
      <w:headerReference w:type="default" r:id="rId3"/>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widowControl w:val="false"/>
      <w:ind w:hanging="0" w:start="720" w:end="0"/>
    </w:pPr>
    <w:rPr>
      <w:rFonts w:ascii="Times New Roman" w:hAnsi="Times New Roman" w:cs="Times New Roman"/>
      <w:sz w:val="24"/>
    </w:rPr>
  </w:style>
  <w:style w:type="paragraph" w:styleId="BodyTextIndent">
    <w:name w:val="Body Text Indent"/>
    <w:basedOn w:val="Normal"/>
    <w:pPr>
      <w:ind w:hanging="2880" w:start="288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ECTFAX</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2001-05-18T12:22:00Z</dcterms:created>
  <dc:creator>ect</dc:creator>
  <dc:description/>
  <dc:language>en-CA</dc:language>
  <cp:lastModifiedBy>jmalown</cp:lastModifiedBy>
  <cp:lastPrinted>2001-05-18T08:08:00Z</cp:lastPrinted>
  <dcterms:modified xsi:type="dcterms:W3CDTF">2001-05-18T12:49:00Z</dcterms:modified>
  <cp:revision>3</cp:revision>
  <dc:subject/>
  <dc:title>Create a cover sheet for an Enron Capital &amp; Trade Resources fax.</dc:title>
</cp:coreProperties>
</file>