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mallCaps/>
          <w:sz w:val="22"/>
        </w:rPr>
      </w:pPr>
      <w:r>
        <w:rPr>
          <w:rFonts w:cs="Arial" w:ascii="Arial" w:hAnsi="Arial"/>
          <w:smallCaps/>
          <w:sz w:val="22"/>
        </w:rPr>
        <w:t>TST Fund V G.P., L.L.C.</w:t>
      </w:r>
    </w:p>
    <w:p>
      <w:pPr>
        <w:pStyle w:val="Normal"/>
        <w:jc w:val="center"/>
        <w:rPr>
          <w:rFonts w:ascii="Arial" w:hAnsi="Arial" w:cs="Arial"/>
          <w:smallCaps/>
          <w:sz w:val="22"/>
        </w:rPr>
      </w:pPr>
      <w:r>
        <w:rPr>
          <w:rFonts w:cs="Arial" w:ascii="Arial" w:hAnsi="Arial"/>
          <w:smallCaps/>
          <w:sz w:val="22"/>
        </w:rPr>
        <w:t>TST International Fund V G.P., L.L.C.</w:t>
      </w:r>
    </w:p>
    <w:p>
      <w:pPr>
        <w:pStyle w:val="Normal"/>
        <w:jc w:val="center"/>
        <w:rPr>
          <w:rFonts w:ascii="Arial" w:hAnsi="Arial" w:cs="Arial"/>
          <w:smallCaps/>
          <w:sz w:val="22"/>
        </w:rPr>
      </w:pPr>
      <w:r>
        <w:rPr>
          <w:rFonts w:cs="Arial" w:ascii="Arial" w:hAnsi="Arial"/>
          <w:smallCaps/>
          <w:sz w:val="22"/>
        </w:rPr>
        <w:t>520 Madison Avenue</w:t>
      </w:r>
    </w:p>
    <w:p>
      <w:pPr>
        <w:pStyle w:val="Normal"/>
        <w:jc w:val="center"/>
        <w:rPr>
          <w:rFonts w:ascii="Arial" w:hAnsi="Arial" w:cs="Arial"/>
          <w:sz w:val="22"/>
        </w:rPr>
      </w:pPr>
      <w:r>
        <w:rPr>
          <w:rFonts w:cs="Arial" w:ascii="Arial" w:hAnsi="Arial"/>
          <w:smallCaps/>
          <w:sz w:val="22"/>
        </w:rPr>
        <w:t>New York, NY 10022</w:t>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September 26,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Prospective Investors in Tishman Speyer/Travelers Real Estate Funds: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tragic events of September 11, and the ensuing global initiative to eradicate terrorism, will undoubtedly have a profound impact on all business sectors over the next several years.  During the past year the real estate industry experienced a reduction in activity as a consequence of the declining global economy.  Recent events will present even greater challenges.  However, in the Sponsors’ view:</w:t>
      </w:r>
    </w:p>
    <w:p>
      <w:pPr>
        <w:pStyle w:val="Normal"/>
        <w:jc w:val="both"/>
        <w:rPr>
          <w:rFonts w:ascii="Arial" w:hAnsi="Arial" w:cs="Arial"/>
          <w:sz w:val="22"/>
        </w:rPr>
      </w:pPr>
      <w:r>
        <w:rPr>
          <w:rFonts w:cs="Arial" w:ascii="Arial" w:hAnsi="Arial"/>
          <w:sz w:val="22"/>
        </w:rPr>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the Fund’s original defined strategy remains unchanged by recent events</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current uncertainty breeds opportunity</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the period ahead looks to be one of relative economic weakness but fundamental stability; real estate is better positioned for this downturn than in the past</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corporate and institutional re-evaluation of real estate strategies will result in real estate opportunities for the Fund</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a combination of low interest rates, relative scarcity of capital and attractive asset pricing will lead to a unique window of opportunity for the Fund</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 xml:space="preserve">Tishman Speyer’s global platform, deep experience and vertical integration well positions the Fund to capitalize on the market dynamics evolving out of recent events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perspective is based on Tishman Speyer’s 25-plus years of experience successfully weathering real estate cycles across the globe.  It has been the Sponsor’s experience that even in the face of economic contraction, significant value can be created through the acquisition, development, and renovation of quality real estate assets. The Sponsors continue to believe real estate constitutes an important component of any investor’s asset allocation, perhaps even more so today in light of the erosion of value in other asset classes.</w:t>
      </w:r>
      <w:r>
        <w:rPr>
          <w:rStyle w:val="FootnoteCharacters"/>
          <w:rStyle w:val="FootnoteReference"/>
          <w:rFonts w:cs="Arial" w:ascii="Arial" w:hAnsi="Arial"/>
          <w:sz w:val="22"/>
        </w:rPr>
        <w:footnoteReference w:id="2"/>
      </w:r>
      <w:r>
        <w:rPr>
          <w:rFonts w:cs="Arial" w:ascii="Arial" w:hAnsi="Arial"/>
          <w:sz w:val="22"/>
        </w:rPr>
        <w:t xml:space="preserve">  Outlined below is a more detailed discussion of the Sponsor’s view of real estate dynamics in the aftermath of the September 11</w:t>
      </w:r>
      <w:r>
        <w:rPr>
          <w:rFonts w:cs="Arial" w:ascii="Arial" w:hAnsi="Arial"/>
          <w:sz w:val="22"/>
          <w:vertAlign w:val="superscript"/>
        </w:rPr>
        <w:t>th</w:t>
      </w:r>
      <w:r>
        <w:rPr>
          <w:rFonts w:cs="Arial" w:ascii="Arial" w:hAnsi="Arial"/>
          <w:sz w:val="22"/>
        </w:rPr>
        <w:t xml:space="preserve"> disaster.</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Starting from a local perspective, New York is facing the loss of 15 million or more square feet of mostly “Class A” office space in downtown Manhattan.  This total amounts to 10% of the downtown Class A office market and about 4% of the first-tier space in the entire city.  As a result, there has been an immediate increase in leasing activity in the greater metropolitan New York area.  The Sponsors anticipate that virtually all available Class A space in New York will be under lease by the end of 2001. Over the longer term, while the Sponsors expect some companies to consider relocating some or all of their operations outside of the New York area, the events of September 11</w:t>
      </w:r>
      <w:r>
        <w:rPr>
          <w:rFonts w:cs="Arial" w:ascii="Arial" w:hAnsi="Arial"/>
          <w:sz w:val="22"/>
          <w:vertAlign w:val="superscript"/>
        </w:rPr>
        <w:t>th</w:t>
      </w:r>
      <w:r>
        <w:rPr>
          <w:rFonts w:cs="Arial" w:ascii="Arial" w:hAnsi="Arial"/>
          <w:sz w:val="22"/>
        </w:rPr>
        <w:t xml:space="preserve"> are expected to lead to the demand for several new developments in New York City and surrounding areas and a strong real estate market for the foreseeable future.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From a global perspective, the recent terrorist attacks have had a significant impact on the international psyche, and a broad, adverse impact on the global economy. In the short term, the US and world economies, which were already in a state of decline, have been pushed even closer to recession. However, the Sponsors believe (i) the severity of the initial economic reaction to the events surrounding September 11</w:t>
      </w:r>
      <w:r>
        <w:rPr>
          <w:rFonts w:cs="Arial" w:ascii="Arial" w:hAnsi="Arial"/>
          <w:sz w:val="22"/>
          <w:vertAlign w:val="superscript"/>
        </w:rPr>
        <w:t>th</w:t>
      </w:r>
      <w:r>
        <w:rPr>
          <w:rFonts w:cs="Arial" w:ascii="Arial" w:hAnsi="Arial"/>
          <w:sz w:val="22"/>
        </w:rPr>
        <w:t xml:space="preserve"> will soften over the near term, (ii) the efforts of the Federal Reserve Board in the U.S. and governments abroad to reduce interest rates and provide liquidity to the markets will ultimately prove successful, and (iii) we are headed for a period of relative economic weakness but fundamental stability.  Prior to September 11</w:t>
      </w:r>
      <w:r>
        <w:rPr>
          <w:rFonts w:cs="Arial" w:ascii="Arial" w:hAnsi="Arial"/>
          <w:sz w:val="22"/>
          <w:vertAlign w:val="superscript"/>
        </w:rPr>
        <w:t>th</w:t>
      </w:r>
      <w:r>
        <w:rPr>
          <w:rFonts w:cs="Arial" w:ascii="Arial" w:hAnsi="Arial"/>
          <w:sz w:val="22"/>
        </w:rPr>
        <w:t>, many companies had already begun to curtail previously planned expansion and this trend is expected to continue over the near term.  In certain sectors, however, most notably security, technology, and defense, spending is expected to increase in light of recent events, positively affecting key industries in select U.S. markets such as Metropolitan Washington and California.  Overall, the Sponsors expect corporate space consolidation to stabilize by first quarter of 2002.</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The Sponsors believe many companies will re-evaluate their real estate strategies.  Some will opt to “decentralize” certain departments to secondary locations both to reduce occupancy costs and in response to the disaster recovery concerns raised by the September 11</w:t>
      </w:r>
      <w:r>
        <w:rPr>
          <w:rFonts w:cs="Arial" w:ascii="Arial" w:hAnsi="Arial"/>
          <w:sz w:val="22"/>
          <w:vertAlign w:val="superscript"/>
        </w:rPr>
        <w:t>th</w:t>
      </w:r>
      <w:r>
        <w:rPr>
          <w:rFonts w:cs="Arial" w:ascii="Arial" w:hAnsi="Arial"/>
          <w:sz w:val="22"/>
        </w:rPr>
        <w:t xml:space="preserve"> tragedy.  Others are expected to build-in greater degrees of functional redundancy, including the establishment of “remote” back-up operations, to achieve similar goals.  Virtually all companies will focus even greater resources on internal security issues as well as with respect to their real estate operations.  In each case this presents opportunities for real estate organizations that have global reach, a reputation for first class operations and an in-depth understanding of corporate needs.  The Sponsors anticipate that Tishman Speyer’s unique ability to afford a single point of contact for a company’s worldwide real estate needs, whether in the heart of global financial centers (e.g. New York, London, Frankfurt, and Paris), or critical regional markets, (e.g. Sao Paolo, Madrid, Chicago, Metropolitan Washington and Northern California), provides the Fund with a distinctive advantage going forward.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review of the Sponsors’ acquisition and development activities on behalf of Tishman Speyer/Travelers Real Estate Venture IV over the past 12 months reflects that only a handful of new transactions were actively pursued. This was primarily reflective of the Sponsors’ view that real estate pricing had become inflated in its target markets, limiting the number of attractive opportunities.  Recent events, coupled with the continued weakening of the global economy, have changed that dynamic.  The Sponsors believe that property pricing has begun to soften; a trend that is anticipated to continue for the next 18 to 24 months.  The Sponsors also believe that some companies, as well institutional owners, domestically and abroad will adopt a strategy of divestiture of real estate assets in response both to recent events and fundamental economic considerations.   Consequently, a meaningful increase in the number of attractive acquisition opportunities in target markets worldwide is anticipated.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The Sponsors’ view is buttressed by the belief that real estate is better positioned going in to this economic downturn than in the past.  Certainly several markets currently face meaningful weakness, with corporate space contraction already evident and vacancy rates increasing, exerting an overall downward pressure on net effective rents. In many markets, however, there is a less significant overhang of supply than might be assumed and vacancy rates, though rising, remain within fundamentally stable margins.  For example, recent reports indicate that prior to September 11th:</w:t>
      </w:r>
    </w:p>
    <w:p>
      <w:pPr>
        <w:pStyle w:val="Normal"/>
        <w:ind w:start="425"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 xml:space="preserve">the vacancy rate in Manhattan was approximately 5%, and it was estimated that an additional 4% of space was available for sublease. </w:t>
      </w:r>
    </w:p>
    <w:p>
      <w:pPr>
        <w:pStyle w:val="Normal"/>
        <w:numPr>
          <w:ilvl w:val="0"/>
          <w:numId w:val="1"/>
        </w:numPr>
        <w:jc w:val="both"/>
        <w:rPr>
          <w:rFonts w:ascii="Arial" w:hAnsi="Arial" w:cs="Arial"/>
          <w:sz w:val="22"/>
        </w:rPr>
      </w:pPr>
      <w:r>
        <w:rPr>
          <w:rFonts w:cs="Arial" w:ascii="Arial" w:hAnsi="Arial"/>
          <w:sz w:val="22"/>
        </w:rPr>
        <w:t>the vacancy rate in Washington D.C. was approximately 5%, and it was estimated that an additional 2.5% of space was available for sublease.</w:t>
      </w:r>
    </w:p>
    <w:p>
      <w:pPr>
        <w:pStyle w:val="Normal"/>
        <w:numPr>
          <w:ilvl w:val="0"/>
          <w:numId w:val="1"/>
        </w:numPr>
        <w:jc w:val="both"/>
        <w:rPr>
          <w:rFonts w:ascii="Arial" w:hAnsi="Arial" w:cs="Arial"/>
          <w:sz w:val="22"/>
        </w:rPr>
      </w:pPr>
      <w:r>
        <w:rPr>
          <w:rFonts w:cs="Arial" w:ascii="Arial" w:hAnsi="Arial"/>
          <w:sz w:val="22"/>
        </w:rPr>
        <w:t>the vacancy rate in London was approximately 4%, and it was estimated that an additional 2% of space was available for sublease.</w:t>
      </w:r>
    </w:p>
    <w:p>
      <w:pPr>
        <w:pStyle w:val="Normal"/>
        <w:numPr>
          <w:ilvl w:val="0"/>
          <w:numId w:val="1"/>
        </w:numPr>
        <w:jc w:val="both"/>
        <w:rPr>
          <w:rFonts w:ascii="Arial" w:hAnsi="Arial" w:cs="Arial"/>
          <w:sz w:val="22"/>
        </w:rPr>
      </w:pPr>
      <w:r>
        <w:rPr>
          <w:rFonts w:cs="Arial" w:ascii="Arial" w:hAnsi="Arial"/>
          <w:sz w:val="22"/>
        </w:rPr>
        <w:t>the vacancy rate in Frankfurt was approximately 2.5%, including both direct and sublet space.</w:t>
      </w:r>
    </w:p>
    <w:p>
      <w:pPr>
        <w:pStyle w:val="Normal"/>
        <w:jc w:val="both"/>
        <w:rPr>
          <w:rFonts w:ascii="Arial" w:hAnsi="Arial" w:cs="Arial"/>
          <w:sz w:val="22"/>
        </w:rPr>
      </w:pPr>
      <w:r>
        <w:rPr>
          <w:rFonts w:cs="Arial" w:ascii="Arial" w:hAnsi="Arial"/>
          <w:sz w:val="22"/>
        </w:rPr>
      </w:r>
    </w:p>
    <w:p>
      <w:pPr>
        <w:pStyle w:val="BodyText"/>
        <w:jc w:val="both"/>
        <w:rPr/>
      </w:pPr>
      <w:r>
        <w:rPr/>
        <w:t>The Sponsors anticipate that in many of the Fund’s target markets Class A office vacancy rates will stabilize during the first quarter of 2002.</w:t>
      </w:r>
    </w:p>
    <w:p>
      <w:pPr>
        <w:pStyle w:val="Normal"/>
        <w:jc w:val="both"/>
        <w:rPr>
          <w:sz w:val="22"/>
        </w:rPr>
      </w:pPr>
      <w:r>
        <w:rPr>
          <w:sz w:val="22"/>
        </w:rPr>
      </w:r>
    </w:p>
    <w:p>
      <w:pPr>
        <w:pStyle w:val="BodyText"/>
        <w:jc w:val="both"/>
        <w:rPr/>
      </w:pPr>
      <w:r>
        <w:rPr/>
        <w:t xml:space="preserve">A significant beneficial byproduct of the current economic environment is that core interest rates continue to trend lower globally while lending “spreads” have increased only moderately.  The Sponsors anticipate borrowing costs for well-capitalized real estate organizations to remain available at historically low levels for the foreseeable future.  Several key financial relationships have confirmed this view with respect to organizations with strong sponsorship.  The continued availability of low cost debt financing implies higher going-in yields on Fund assets and higher overall leveraged Fund returns, particularly given the ability to lock-in both long term attractive financing and long term revenue streams under tenant leases. The Sponsors believe we are entering a window of unique opportunity for real estate investing in which a low interest rate environment combines with attractive asset pricing, resulting in the potential for significant value creation over the holding period of Fund assets.  This window of opportunity is projected to occur at a time when competing equity capital is relatively scarce.  </w:t>
      </w:r>
    </w:p>
    <w:p>
      <w:pPr>
        <w:pStyle w:val="BodyText"/>
        <w:jc w:val="both"/>
        <w:rPr/>
      </w:pPr>
      <w:r>
        <w:rPr/>
      </w:r>
    </w:p>
    <w:p>
      <w:pPr>
        <w:pStyle w:val="Normal"/>
        <w:jc w:val="both"/>
        <w:rPr>
          <w:rFonts w:ascii="Arial" w:hAnsi="Arial" w:cs="Arial"/>
          <w:sz w:val="22"/>
        </w:rPr>
      </w:pPr>
      <w:r>
        <w:rPr>
          <w:rFonts w:cs="Arial" w:ascii="Arial" w:hAnsi="Arial"/>
          <w:sz w:val="22"/>
        </w:rPr>
        <w:t xml:space="preserve">In sum, the Sponsors believe the current economic environment will afford significant opportunities for Fund investment.  The Fund’s fundamental strategy, to acquire or develop Class A office properties in first tier markets where significant barriers to entry minimize competition(overbuilding) and investment volatility, does not rely on cyclical economics to succeed.   Rather, the Sponsors believe Tishman Speyer’s unwavering commitment to the real estate product required by large global business - modern, efficient, secure first class office buildings providing highest quality service - earns and maintains tenant and lender loyalty and confidence, providing the strongest possible foundation for value creation.  Tishman Speyer's vertically integrated, highly experienced and long-standing team of professionals is especially well positioned to capitalize on the very market dynamics that mark the type of down economic cycles we appear to be entering.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mallCaps/>
          <w:sz w:val="22"/>
        </w:rPr>
      </w:pPr>
      <w:r>
        <w:rPr>
          <w:rFonts w:cs="Arial" w:ascii="Arial" w:hAnsi="Arial"/>
          <w:smallCaps/>
          <w:sz w:val="22"/>
        </w:rPr>
        <w:t>TST Fund V G.P., L.L.C.</w:t>
      </w:r>
    </w:p>
    <w:p>
      <w:pPr>
        <w:pStyle w:val="Normal"/>
        <w:jc w:val="both"/>
        <w:rPr>
          <w:rFonts w:ascii="Arial" w:hAnsi="Arial" w:cs="Arial"/>
          <w:smallCaps/>
          <w:sz w:val="22"/>
        </w:rPr>
      </w:pPr>
      <w:r>
        <w:rPr>
          <w:rFonts w:cs="Arial" w:ascii="Arial" w:hAnsi="Arial"/>
          <w:smallCaps/>
          <w:sz w:val="22"/>
        </w:rPr>
        <w:t>TST International Fund V G.P., L.L.C.</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rFonts w:cs="Arial" w:ascii="Arial" w:hAnsi="Arial"/>
          <w:sz w:val="16"/>
        </w:rPr>
        <w:t xml:space="preserve"> </w:t>
      </w:r>
      <w:r>
        <w:rPr>
          <w:rFonts w:cs="Arial" w:ascii="Arial" w:hAnsi="Arial"/>
          <w:sz w:val="16"/>
        </w:rPr>
        <w:t xml:space="preserve">Barton Biggs, chief global strategist and chairman at Morgan Stanley Investment Management has stated that in his view pension funds and major institutional investors should allocate 15% of their funds to global real estate. It will be the only major asset class that could deliver double-digit returns over the next five years, he says. "...and it’s probably the most effective inflation hedge." </w:t>
      </w:r>
    </w:p>
    <w:p>
      <w:pPr>
        <w:pStyle w:val="FootnoteText"/>
        <w:rPr>
          <w:rFonts w:ascii="Arial" w:hAnsi="Arial" w:cs="Arial"/>
          <w:sz w:val="16"/>
        </w:rPr>
      </w:pPr>
      <w:r>
        <w:rPr>
          <w:rFonts w:cs="Arial" w:ascii="Arial" w:hAnsi="Arial"/>
          <w:sz w:val="16"/>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5"/>
        </w:tabs>
        <w:ind w:start="785"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2001-09-26T13:49:00Z</dcterms:created>
  <dc:creator>Lisa Chun</dc:creator>
  <dc:description/>
  <dc:language>en-CA</dc:language>
  <cp:lastModifiedBy>Edward F Cunningham</cp:lastModifiedBy>
  <cp:lastPrinted>2001-09-26T12:18:00Z</cp:lastPrinted>
  <dcterms:modified xsi:type="dcterms:W3CDTF">2001-09-26T13:49:00Z</dcterms:modified>
  <cp:revision>2</cp:revision>
  <dc:subject/>
  <dc:title>TSP's Position Regarding Investing in Real Estate Today </dc:title>
</cp:coreProperties>
</file>