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TRANSPORT OPTION AGREEMENT – Form O</w:t>
      </w:r>
    </w:p>
    <w:p>
      <w:pPr>
        <w:pStyle w:val="Normal"/>
        <w:jc w:val="center"/>
        <w:rPr>
          <w:b/>
        </w:rPr>
      </w:pPr>
      <w:r>
        <w:rPr>
          <w:b/>
        </w:rPr>
      </w:r>
    </w:p>
    <w:p>
      <w:pPr>
        <w:pStyle w:val="Normal"/>
        <w:rPr/>
      </w:pPr>
      <w:r>
        <w:rPr/>
        <w:t xml:space="preserve">Date: </w:t>
      </w:r>
      <w:bookmarkStart w:id="0" w:name="formdate2"/>
      <w:bookmarkEnd w:id="0"/>
    </w:p>
    <w:p>
      <w:pPr>
        <w:pStyle w:val="Normal"/>
        <w:rPr/>
      </w:pPr>
      <w:r>
        <w:rPr/>
      </w:r>
    </w:p>
    <w:p>
      <w:pPr>
        <w:pStyle w:val="Normal"/>
        <w:rPr/>
      </w:pPr>
      <w:r>
        <w:rPr/>
        <w:t xml:space="preserve">Counterparty's Name and Address for               </w:t>
        <w:tab/>
        <w:tab/>
        <w:t>Address for Invoice</w:t>
      </w:r>
    </w:p>
    <w:p>
      <w:pPr>
        <w:pStyle w:val="Normal"/>
        <w:rPr/>
      </w:pPr>
      <w:r>
        <w:rPr/>
        <w:t xml:space="preserve">Notices and Invoices:                        </w:t>
        <w:tab/>
        <w:tab/>
        <w:tab/>
        <w:t>(If different)</w:t>
      </w:r>
    </w:p>
    <w:p>
      <w:pPr>
        <w:pStyle w:val="Normal"/>
        <w:rPr/>
      </w:pPr>
      <w:r>
        <w:rPr/>
      </w:r>
    </w:p>
    <w:tbl>
      <w:tblPr>
        <w:tblW w:w="11016" w:type="dxa"/>
        <w:jc w:val="start"/>
        <w:tblInd w:w="0" w:type="dxa"/>
        <w:tblLayout w:type="fixed"/>
        <w:tblCellMar>
          <w:top w:w="0" w:type="dxa"/>
          <w:start w:w="108" w:type="dxa"/>
          <w:bottom w:w="0" w:type="dxa"/>
          <w:end w:w="108" w:type="dxa"/>
        </w:tblCellMar>
      </w:tblPr>
      <w:tblGrid>
        <w:gridCol w:w="5058"/>
        <w:gridCol w:w="360"/>
        <w:gridCol w:w="5598"/>
      </w:tblGrid>
      <w:tr>
        <w:trPr/>
        <w:tc>
          <w:tcPr>
            <w:tcW w:w="5058" w:type="dxa"/>
            <w:tcBorders/>
          </w:tcPr>
          <w:p>
            <w:pPr>
              <w:pStyle w:val="Normal"/>
              <w:snapToGrid w:val="false"/>
              <w:rPr>
                <w:color w:val="000000"/>
              </w:rPr>
            </w:pPr>
            <w:r>
              <w:rPr>
                <w:color w:val="000000"/>
              </w:rPr>
            </w:r>
            <w:bookmarkStart w:id="1" w:name="dNotice1"/>
            <w:bookmarkStart w:id="2" w:name="dNotice1"/>
            <w:bookmarkEnd w:id="2"/>
          </w:p>
        </w:tc>
        <w:tc>
          <w:tcPr>
            <w:tcW w:w="360" w:type="dxa"/>
            <w:tcBorders/>
          </w:tcPr>
          <w:p>
            <w:pPr>
              <w:pStyle w:val="Normal"/>
              <w:snapToGrid w:val="false"/>
              <w:rPr>
                <w:color w:val="FF0000"/>
                <w:u w:val="single"/>
              </w:rPr>
            </w:pPr>
            <w:r>
              <w:rPr>
                <w:color w:val="FF0000"/>
                <w:u w:val="single"/>
              </w:rPr>
            </w:r>
          </w:p>
        </w:tc>
        <w:tc>
          <w:tcPr>
            <w:tcW w:w="5598" w:type="dxa"/>
            <w:tcBorders/>
          </w:tcPr>
          <w:p>
            <w:pPr>
              <w:pStyle w:val="Normal"/>
              <w:snapToGrid w:val="false"/>
              <w:rPr>
                <w:color w:val="000000"/>
                <w:u w:val="single"/>
              </w:rPr>
            </w:pPr>
            <w:r>
              <w:rPr>
                <w:color w:val="000000"/>
                <w:u w:val="single"/>
              </w:rPr>
            </w:r>
            <w:bookmarkStart w:id="3" w:name="dInvoice1"/>
            <w:bookmarkStart w:id="4" w:name="dInvoice1"/>
            <w:bookmarkEnd w:id="4"/>
          </w:p>
        </w:tc>
      </w:tr>
    </w:tbl>
    <w:p>
      <w:pPr>
        <w:pStyle w:val="Normal"/>
        <w:rPr>
          <w:color w:val="000000"/>
        </w:rPr>
      </w:pPr>
      <w:r>
        <w:rPr>
          <w:color w:val="000000"/>
        </w:rPr>
      </w:r>
      <w:bookmarkStart w:id="5" w:name="dNotice2"/>
      <w:bookmarkStart w:id="6" w:name="dNotice2"/>
      <w:bookmarkEnd w:id="6"/>
    </w:p>
    <w:p>
      <w:pPr>
        <w:pStyle w:val="Normal"/>
        <w:rPr>
          <w:color w:val="000000"/>
        </w:rPr>
      </w:pPr>
      <w:r>
        <w:rPr>
          <w:color w:val="000000"/>
        </w:rPr>
        <w:t>Transporter's Address for Notices and Invoices:</w:t>
      </w:r>
    </w:p>
    <w:p>
      <w:pPr>
        <w:pStyle w:val="Normal"/>
        <w:rPr>
          <w:color w:val="000000"/>
        </w:rPr>
      </w:pPr>
      <w:r>
        <w:rPr>
          <w:color w:val="000000"/>
        </w:rPr>
      </w:r>
    </w:p>
    <w:p>
      <w:pPr>
        <w:pStyle w:val="Normal"/>
        <w:rPr>
          <w:color w:val="000000"/>
        </w:rPr>
      </w:pPr>
      <w:r>
        <w:rPr>
          <w:color w:val="000000"/>
        </w:rPr>
        <w:t>Transwestern Pipeline Company</w:t>
      </w:r>
    </w:p>
    <w:p>
      <w:pPr>
        <w:pStyle w:val="Normal"/>
        <w:rPr>
          <w:color w:val="000000"/>
        </w:rPr>
      </w:pPr>
      <w:r>
        <w:rPr>
          <w:color w:val="000000"/>
        </w:rPr>
        <w:t>P.O. Box 1188</w:t>
      </w:r>
    </w:p>
    <w:p>
      <w:pPr>
        <w:pStyle w:val="Normal"/>
        <w:rPr>
          <w:color w:val="000000"/>
        </w:rPr>
      </w:pPr>
      <w:r>
        <w:rPr>
          <w:color w:val="000000"/>
        </w:rPr>
        <w:t>Houston, Texas 77251-1188</w:t>
      </w:r>
    </w:p>
    <w:p>
      <w:pPr>
        <w:pStyle w:val="Normal"/>
        <w:rPr>
          <w:color w:val="000000"/>
        </w:rPr>
      </w:pPr>
      <w:r>
        <w:rPr>
          <w:color w:val="000000"/>
        </w:rPr>
        <w:t>Attn:  Market Services</w:t>
      </w:r>
    </w:p>
    <w:p>
      <w:pPr>
        <w:pStyle w:val="Normal"/>
        <w:rPr>
          <w:color w:val="000000"/>
        </w:rPr>
      </w:pPr>
      <w:r>
        <w:rPr>
          <w:color w:val="000000"/>
        </w:rPr>
      </w:r>
    </w:p>
    <w:p>
      <w:pPr>
        <w:pStyle w:val="Normal"/>
        <w:rPr>
          <w:color w:val="000000"/>
        </w:rPr>
      </w:pPr>
      <w:r>
        <w:rPr>
          <w:color w:val="000000"/>
        </w:rPr>
        <w:t xml:space="preserve">Complete only if applicable:  This Transport Option Agreement is an amendment to the Transportation Service Agreement between the parties (Contract No. ________).  </w:t>
      </w:r>
    </w:p>
    <w:p>
      <w:pPr>
        <w:pStyle w:val="Normal"/>
        <w:rPr>
          <w:color w:val="000000"/>
        </w:rPr>
      </w:pPr>
      <w:r>
        <w:rPr>
          <w:color w:val="000000"/>
        </w:rPr>
      </w:r>
    </w:p>
    <w:p>
      <w:pPr>
        <w:pStyle w:val="Normal"/>
        <w:rPr>
          <w:color w:val="000000"/>
        </w:rPr>
      </w:pPr>
      <w:r>
        <w:rPr>
          <w:b/>
          <w:color w:val="000000"/>
        </w:rPr>
        <w:t>Type of option (check one):</w:t>
      </w:r>
    </w:p>
    <w:p>
      <w:pPr>
        <w:pStyle w:val="Normal"/>
        <w:rPr>
          <w:color w:val="000000"/>
        </w:rPr>
      </w:pPr>
      <w:r>
        <w:rPr>
          <w:color w:val="000000"/>
        </w:rPr>
      </w:r>
    </w:p>
    <w:p>
      <w:pPr>
        <w:pStyle w:val="Normal"/>
        <w:ind w:firstLine="720" w:end="0"/>
        <w:rPr>
          <w:color w:val="000000"/>
        </w:rPr>
      </w:pPr>
      <w:r>
        <w:rPr>
          <w:color w:val="000000"/>
        </w:rPr>
        <w:t xml:space="preserve">___ Counterparty call </w:t>
        <w:tab/>
        <w:tab/>
        <w:t>___ Counterparty put</w:t>
      </w:r>
    </w:p>
    <w:p>
      <w:pPr>
        <w:pStyle w:val="Normal"/>
        <w:ind w:firstLine="720" w:end="0"/>
        <w:rPr>
          <w:color w:val="000000"/>
        </w:rPr>
      </w:pPr>
      <w:r>
        <w:rPr>
          <w:color w:val="000000"/>
        </w:rPr>
        <w:t xml:space="preserve">___Transporter call </w:t>
        <w:tab/>
        <w:tab/>
        <w:t xml:space="preserve">___ Transporter put </w:t>
      </w:r>
    </w:p>
    <w:p>
      <w:pPr>
        <w:pStyle w:val="Normal"/>
        <w:rPr>
          <w:color w:val="000000"/>
        </w:rPr>
      </w:pPr>
      <w:r>
        <w:rPr>
          <w:color w:val="000000"/>
        </w:rPr>
      </w:r>
    </w:p>
    <w:p>
      <w:pPr>
        <w:pStyle w:val="Normal"/>
        <w:rPr/>
      </w:pPr>
      <w:r>
        <w:rPr>
          <w:b/>
          <w:color w:val="000000"/>
        </w:rPr>
        <w:t>Quantity.</w:t>
      </w:r>
      <w:r>
        <w:rPr>
          <w:color w:val="000000"/>
        </w:rPr>
        <w:t xml:space="preserve">   Not to exceed ________ MMBtu/day.</w:t>
      </w:r>
    </w:p>
    <w:p>
      <w:pPr>
        <w:pStyle w:val="Normal"/>
        <w:rPr>
          <w:color w:val="000000"/>
        </w:rPr>
      </w:pPr>
      <w:r>
        <w:rPr>
          <w:color w:val="000000"/>
        </w:rPr>
      </w:r>
    </w:p>
    <w:p>
      <w:pPr>
        <w:pStyle w:val="Normal"/>
        <w:rPr/>
      </w:pPr>
      <w:r>
        <w:rPr>
          <w:b/>
          <w:color w:val="000000"/>
        </w:rPr>
        <w:t>Term of option.</w:t>
      </w:r>
      <w:r>
        <w:rPr>
          <w:color w:val="000000"/>
        </w:rPr>
        <w:t xml:space="preserve">  The option described herein may only be exercised between ________ and _______.   </w:t>
        <w:tab/>
        <w:tab/>
        <w:tab/>
        <w:tab/>
        <w:tab/>
        <w:tab/>
        <w:tab/>
        <w:tab/>
        <w:t xml:space="preserve">      </w:t>
        <w:tab/>
        <w:tab/>
        <w:t>(date)</w:t>
        <w:tab/>
        <w:t xml:space="preserve">       (date)</w:t>
      </w:r>
    </w:p>
    <w:p>
      <w:pPr>
        <w:pStyle w:val="Normal"/>
        <w:rPr>
          <w:b/>
          <w:color w:val="000000"/>
        </w:rPr>
      </w:pPr>
      <w:r>
        <w:rPr>
          <w:b/>
          <w:color w:val="000000"/>
        </w:rPr>
      </w:r>
    </w:p>
    <w:p>
      <w:pPr>
        <w:pStyle w:val="Normal"/>
        <w:rPr/>
      </w:pPr>
      <w:r>
        <w:rPr>
          <w:b/>
          <w:color w:val="000000"/>
        </w:rPr>
        <w:t xml:space="preserve">Term of firm transportation service </w:t>
      </w:r>
      <w:r>
        <w:rPr>
          <w:color w:val="000000"/>
        </w:rPr>
        <w:t>(Check one):</w:t>
      </w:r>
    </w:p>
    <w:p>
      <w:pPr>
        <w:pStyle w:val="Normal"/>
        <w:ind w:firstLine="720" w:end="0"/>
        <w:rPr>
          <w:color w:val="000000"/>
        </w:rPr>
      </w:pPr>
      <w:r>
        <w:rPr>
          <w:color w:val="000000"/>
        </w:rPr>
        <w:t>___ not to exceed ___ months.</w:t>
      </w:r>
    </w:p>
    <w:p>
      <w:pPr>
        <w:pStyle w:val="Normal"/>
        <w:ind w:firstLine="720" w:end="0"/>
        <w:rPr>
          <w:color w:val="000000"/>
        </w:rPr>
      </w:pPr>
      <w:r>
        <w:rPr>
          <w:color w:val="000000"/>
        </w:rPr>
        <w:t>___ beginning __________ and ending __________.</w:t>
      </w:r>
    </w:p>
    <w:p>
      <w:pPr>
        <w:pStyle w:val="Normal"/>
        <w:rPr>
          <w:color w:val="000000"/>
        </w:rPr>
      </w:pPr>
      <w:r>
        <w:rPr>
          <w:color w:val="000000"/>
        </w:rPr>
        <w:tab/>
        <w:tab/>
        <w:tab/>
        <w:t>(date)</w:t>
        <w:tab/>
        <w:tab/>
        <w:tab/>
        <w:t>(date)</w:t>
      </w:r>
    </w:p>
    <w:p>
      <w:pPr>
        <w:pStyle w:val="Normal"/>
        <w:rPr>
          <w:color w:val="000000"/>
        </w:rPr>
      </w:pPr>
      <w:r>
        <w:rPr>
          <w:color w:val="000000"/>
        </w:rPr>
      </w:r>
    </w:p>
    <w:p>
      <w:pPr>
        <w:pStyle w:val="BodyText"/>
        <w:rPr/>
      </w:pPr>
      <w:r>
        <w:rPr>
          <w:rFonts w:cs="Times New Roman" w:ascii="Times New Roman" w:hAnsi="Times New Roman"/>
          <w:b/>
          <w:sz w:val="20"/>
        </w:rPr>
        <w:t>Receipt and Delivery Points.</w:t>
      </w:r>
      <w:r>
        <w:rPr>
          <w:rFonts w:cs="Times New Roman" w:ascii="Times New Roman" w:hAnsi="Times New Roman"/>
          <w:sz w:val="20"/>
        </w:rPr>
        <w:t xml:space="preserve">  The applicable receipt and delivery points are set forth on Appendix A, attached hereto and incorporated herein.</w:t>
      </w:r>
    </w:p>
    <w:p>
      <w:pPr>
        <w:pStyle w:val="Normal"/>
        <w:rPr>
          <w:rFonts w:ascii="Times New Roman" w:hAnsi="Times New Roman" w:cs="Times New Roman"/>
          <w:color w:val="000000"/>
          <w:sz w:val="20"/>
        </w:rPr>
      </w:pPr>
      <w:r>
        <w:rPr>
          <w:rFonts w:cs="Times New Roman"/>
          <w:color w:val="000000"/>
          <w:sz w:val="20"/>
        </w:rPr>
      </w:r>
    </w:p>
    <w:p>
      <w:pPr>
        <w:pStyle w:val="Normal"/>
        <w:rPr/>
      </w:pPr>
      <w:r>
        <w:rPr>
          <w:b/>
          <w:color w:val="000000"/>
        </w:rPr>
        <w:t>Rate Schedule:</w:t>
      </w:r>
      <w:r>
        <w:rPr>
          <w:color w:val="000000"/>
        </w:rPr>
        <w:t xml:space="preserve">  ________        </w:t>
      </w:r>
    </w:p>
    <w:p>
      <w:pPr>
        <w:pStyle w:val="Normal"/>
        <w:rPr>
          <w:color w:val="000000"/>
        </w:rPr>
      </w:pPr>
      <w:r>
        <w:rPr>
          <w:color w:val="000000"/>
        </w:rPr>
      </w:r>
    </w:p>
    <w:p>
      <w:pPr>
        <w:pStyle w:val="Normal"/>
        <w:rPr/>
      </w:pPr>
      <w:r>
        <w:rPr>
          <w:b/>
          <w:color w:val="000000"/>
        </w:rPr>
        <w:t>Transportation Rate:</w:t>
      </w:r>
      <w:r>
        <w:rPr>
          <w:color w:val="000000"/>
        </w:rPr>
        <w:t xml:space="preserve"> $______ /MMBtu/day.  </w:t>
      </w:r>
    </w:p>
    <w:p>
      <w:pPr>
        <w:pStyle w:val="Normal"/>
        <w:rPr>
          <w:color w:val="000000"/>
        </w:rPr>
      </w:pPr>
      <w:r>
        <w:rPr>
          <w:color w:val="000000"/>
        </w:rPr>
      </w:r>
    </w:p>
    <w:p>
      <w:pPr>
        <w:pStyle w:val="Normal"/>
        <w:rPr/>
      </w:pPr>
      <w:r>
        <w:rPr>
          <w:b/>
          <w:color w:val="000000"/>
        </w:rPr>
        <w:t>Option Fee:</w:t>
      </w:r>
      <w:r>
        <w:rPr>
          <w:color w:val="000000"/>
        </w:rPr>
        <w:t xml:space="preserve">  $________, payable by Counterparty/Transporter to Transporter/Counterparty as follows (specify payment structure):</w:t>
      </w:r>
    </w:p>
    <w:p>
      <w:pPr>
        <w:pStyle w:val="Normal"/>
        <w:rPr>
          <w:color w:val="000000"/>
        </w:rPr>
      </w:pPr>
      <w:r>
        <w:rPr>
          <w:color w:val="000000"/>
        </w:rPr>
      </w:r>
    </w:p>
    <w:p>
      <w:pPr>
        <w:pStyle w:val="Normal"/>
        <w:rPr>
          <w:color w:val="000000"/>
        </w:rPr>
      </w:pPr>
      <w:r>
        <w:rPr>
          <w:b/>
          <w:color w:val="000000"/>
        </w:rPr>
        <w:t>Other:</w:t>
      </w:r>
    </w:p>
    <w:p>
      <w:pPr>
        <w:pStyle w:val="Normal"/>
        <w:rPr>
          <w:color w:val="000000"/>
        </w:rPr>
      </w:pPr>
      <w:r>
        <w:rPr>
          <w:color w:val="000000"/>
        </w:rPr>
      </w:r>
    </w:p>
    <w:p>
      <w:pPr>
        <w:pStyle w:val="Normal"/>
        <w:rPr/>
      </w:pPr>
      <w:r>
        <w:rPr/>
        <w:t>This Agreement shall incorporate and shall be subject to the provisions of Transporter's FERC Gas Tariff applicable to options on transportation capacity, as revised from time to time.  Transporter may file and seek Commission approval under Section 4 of the Natural Gas Act (NGA) at any time and from time to time to change any provisions set forth in its FERC Gas Tariff, and Transporter shall have the right to place such changes in effect in accordance with the NGA, and this Agreement shall be deemed to include such changes and any changes which become effective by operation of law and Commission order, without prejudice to Counterparty's right to protest the same.</w:t>
      </w:r>
    </w:p>
    <w:p>
      <w:pPr>
        <w:pStyle w:val="Normal"/>
        <w:rPr>
          <w:b/>
          <w:color w:val="000000"/>
        </w:rPr>
      </w:pPr>
      <w:r>
        <w:rPr>
          <w:b/>
          <w:color w:val="000000"/>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pPr>
            <w:r>
              <w:rPr/>
              <w:t>Transwestern Pipeline Company</w:t>
            </w:r>
          </w:p>
        </w:tc>
        <w:tc>
          <w:tcPr>
            <w:tcW w:w="1260" w:type="dxa"/>
            <w:tcBorders/>
          </w:tcPr>
          <w:p>
            <w:pPr>
              <w:pStyle w:val="Normal"/>
              <w:snapToGrid w:val="false"/>
              <w:jc w:val="end"/>
              <w:rPr/>
            </w:pPr>
            <w:r>
              <w:rPr/>
            </w:r>
          </w:p>
        </w:tc>
        <w:tc>
          <w:tcPr>
            <w:tcW w:w="6570" w:type="dxa"/>
            <w:tcBorders/>
          </w:tcPr>
          <w:p>
            <w:pPr>
              <w:pStyle w:val="Normal"/>
              <w:snapToGrid w:val="false"/>
              <w:rPr/>
            </w:pPr>
            <w:r>
              <w:rPr/>
            </w:r>
            <w:bookmarkStart w:id="7" w:name="dLegalNameSign"/>
            <w:bookmarkStart w:id="8" w:name="dLegalNameSign"/>
            <w:bookmarkEnd w:id="8"/>
          </w:p>
        </w:tc>
      </w:tr>
    </w:tbl>
    <w:p>
      <w:pPr>
        <w:pStyle w:val="Normal"/>
        <w:rPr/>
      </w:pPr>
      <w:r>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pPr>
            <w:r>
              <w:rPr/>
              <w:t>By:</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By:</w:t>
            </w:r>
          </w:p>
        </w:tc>
        <w:tc>
          <w:tcPr>
            <w:tcW w:w="5293" w:type="dxa"/>
            <w:gridSpan w:val="3"/>
            <w:tcBorders>
              <w:bottom w:val="single" w:sz="6" w:space="0" w:color="000000"/>
            </w:tcBorders>
          </w:tcPr>
          <w:p>
            <w:pPr>
              <w:pStyle w:val="Normal"/>
              <w:snapToGrid w:val="false"/>
              <w:rPr/>
            </w:pPr>
            <w:r>
              <w:rPr/>
            </w:r>
            <w:bookmarkStart w:id="9" w:name="dAgreementSignatory"/>
            <w:bookmarkStart w:id="10" w:name="dAgreementSignatory"/>
            <w:bookmarkEnd w:id="10"/>
          </w:p>
        </w:tc>
      </w:tr>
      <w:tr>
        <w:trPr>
          <w:trHeight w:val="23" w:hRule="atLeast"/>
        </w:trPr>
        <w:tc>
          <w:tcPr>
            <w:tcW w:w="1188" w:type="dxa"/>
            <w:gridSpan w:val="3"/>
            <w:tcBorders/>
          </w:tcPr>
          <w:p>
            <w:pPr>
              <w:pStyle w:val="Normal"/>
              <w:snapToGrid w:val="false"/>
              <w:rPr/>
            </w:pPr>
            <w:r>
              <w:rPr/>
            </w:r>
          </w:p>
        </w:tc>
        <w:tc>
          <w:tcPr>
            <w:tcW w:w="3690" w:type="dxa"/>
            <w:tcBorders/>
          </w:tcPr>
          <w:p>
            <w:pPr>
              <w:pStyle w:val="Normal"/>
              <w:snapToGrid w:val="false"/>
              <w:rPr/>
            </w:pPr>
            <w:r>
              <w:rPr/>
            </w:r>
          </w:p>
        </w:tc>
        <w:tc>
          <w:tcPr>
            <w:tcW w:w="239" w:type="dxa"/>
            <w:tcBorders/>
          </w:tcPr>
          <w:p>
            <w:pPr>
              <w:pStyle w:val="Normal"/>
              <w:snapToGrid w:val="false"/>
              <w:rPr/>
            </w:pPr>
            <w:r>
              <w:rPr/>
            </w:r>
          </w:p>
        </w:tc>
        <w:tc>
          <w:tcPr>
            <w:tcW w:w="1057" w:type="dxa"/>
            <w:gridSpan w:val="4"/>
            <w:tcBorders/>
          </w:tcPr>
          <w:p>
            <w:pPr>
              <w:pStyle w:val="Normal"/>
              <w:snapToGrid w:val="false"/>
              <w:rPr/>
            </w:pPr>
            <w:r>
              <w:rPr/>
            </w:r>
          </w:p>
        </w:tc>
        <w:tc>
          <w:tcPr>
            <w:tcW w:w="5167" w:type="dxa"/>
            <w:gridSpan w:val="2"/>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1008" w:type="dxa"/>
            <w:gridSpan w:val="2"/>
            <w:tcBorders/>
          </w:tcPr>
          <w:p>
            <w:pPr>
              <w:pStyle w:val="Normal"/>
              <w:rPr/>
            </w:pPr>
            <w:r>
              <w:rPr/>
              <w:t>Title:</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Title:</w:t>
            </w:r>
          </w:p>
        </w:tc>
        <w:tc>
          <w:tcPr>
            <w:tcW w:w="5293" w:type="dxa"/>
            <w:gridSpan w:val="3"/>
            <w:tcBorders>
              <w:bottom w:val="single" w:sz="6" w:space="0" w:color="000000"/>
            </w:tcBorders>
          </w:tcPr>
          <w:p>
            <w:pPr>
              <w:pStyle w:val="Normal"/>
              <w:snapToGrid w:val="false"/>
              <w:rPr/>
            </w:pPr>
            <w:r>
              <w:rPr/>
            </w:r>
          </w:p>
        </w:tc>
      </w:tr>
      <w:tr>
        <w:trPr/>
        <w:tc>
          <w:tcPr>
            <w:tcW w:w="1008" w:type="dxa"/>
            <w:gridSpan w:val="2"/>
            <w:tcBorders/>
          </w:tcPr>
          <w:p>
            <w:pPr>
              <w:pStyle w:val="Normal"/>
              <w:snapToGrid w:val="false"/>
              <w:rPr/>
            </w:pPr>
            <w:r>
              <w:rPr/>
            </w:r>
          </w:p>
        </w:tc>
        <w:tc>
          <w:tcPr>
            <w:tcW w:w="3870" w:type="dxa"/>
            <w:gridSpan w:val="2"/>
            <w:tcBorders/>
          </w:tcPr>
          <w:p>
            <w:pPr>
              <w:pStyle w:val="Normal"/>
              <w:snapToGrid w:val="false"/>
              <w:rPr/>
            </w:pPr>
            <w:r>
              <w:rPr/>
            </w:r>
          </w:p>
        </w:tc>
        <w:tc>
          <w:tcPr>
            <w:tcW w:w="239" w:type="dxa"/>
            <w:tcBorders/>
          </w:tcPr>
          <w:p>
            <w:pPr>
              <w:pStyle w:val="Normal"/>
              <w:snapToGrid w:val="false"/>
              <w:rPr/>
            </w:pPr>
            <w:r>
              <w:rPr/>
            </w:r>
          </w:p>
        </w:tc>
        <w:tc>
          <w:tcPr>
            <w:tcW w:w="841" w:type="dxa"/>
            <w:gridSpan w:val="3"/>
            <w:tcBorders/>
          </w:tcPr>
          <w:p>
            <w:pPr>
              <w:pStyle w:val="Normal"/>
              <w:snapToGrid w:val="false"/>
              <w:rPr/>
            </w:pPr>
            <w:r>
              <w:rPr/>
            </w:r>
          </w:p>
        </w:tc>
        <w:tc>
          <w:tcPr>
            <w:tcW w:w="5383" w:type="dxa"/>
            <w:gridSpan w:val="3"/>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828" w:type="dxa"/>
            <w:tcBorders/>
          </w:tcPr>
          <w:p>
            <w:pPr>
              <w:pStyle w:val="Normal"/>
              <w:rPr/>
            </w:pPr>
            <w:r>
              <w:rPr/>
              <w:t xml:space="preserve">Date: </w:t>
            </w:r>
          </w:p>
        </w:tc>
        <w:tc>
          <w:tcPr>
            <w:tcW w:w="4770" w:type="dxa"/>
            <w:gridSpan w:val="5"/>
            <w:tcBorders>
              <w:bottom w:val="single" w:sz="6" w:space="0" w:color="000000"/>
            </w:tcBorders>
          </w:tcPr>
          <w:p>
            <w:pPr>
              <w:pStyle w:val="Normal"/>
              <w:snapToGrid w:val="false"/>
              <w:rPr/>
            </w:pPr>
            <w:r>
              <w:rPr/>
            </w:r>
            <w:bookmarkStart w:id="11" w:name="formdate1"/>
            <w:bookmarkStart w:id="12" w:name="formdate1"/>
            <w:bookmarkEnd w:id="12"/>
          </w:p>
        </w:tc>
        <w:tc>
          <w:tcPr>
            <w:tcW w:w="239" w:type="dxa"/>
            <w:tcBorders/>
          </w:tcPr>
          <w:p>
            <w:pPr>
              <w:pStyle w:val="Normal"/>
              <w:snapToGrid w:val="false"/>
              <w:rPr/>
            </w:pPr>
            <w:r>
              <w:rPr/>
            </w:r>
          </w:p>
        </w:tc>
        <w:tc>
          <w:tcPr>
            <w:tcW w:w="931" w:type="dxa"/>
            <w:gridSpan w:val="3"/>
            <w:tcBorders/>
          </w:tcPr>
          <w:p>
            <w:pPr>
              <w:pStyle w:val="Normal"/>
              <w:rPr/>
            </w:pPr>
            <w:r>
              <w:rPr/>
              <w:t>Date:</w:t>
            </w:r>
          </w:p>
        </w:tc>
        <w:tc>
          <w:tcPr>
            <w:tcW w:w="5256" w:type="dxa"/>
            <w:gridSpan w:val="2"/>
            <w:tcBorders>
              <w:bottom w:val="single" w:sz="6" w:space="0" w:color="000000"/>
            </w:tcBorders>
          </w:tcPr>
          <w:p>
            <w:pPr>
              <w:pStyle w:val="Normal"/>
              <w:snapToGrid w:val="false"/>
              <w:rPr/>
            </w:pPr>
            <w:r>
              <w:rPr/>
            </w:r>
            <w:bookmarkStart w:id="13" w:name="formdate"/>
            <w:bookmarkStart w:id="14" w:name="formdate"/>
            <w:bookmarkEnd w:id="14"/>
          </w:p>
        </w:tc>
        <w:tc>
          <w:tcPr>
            <w:tcW w:w="37" w:type="dxa"/>
            <w:tcBorders/>
            <w:tcMar>
              <w:start w:w="0" w:type="dxa"/>
              <w:end w:w="0" w:type="dxa"/>
            </w:tcMar>
          </w:tcPr>
          <w:p>
            <w:pPr>
              <w:pStyle w:val="Normal"/>
              <w:snapToGrid w:val="false"/>
              <w:rPr/>
            </w:pPr>
            <w:r>
              <w:rPr/>
            </w:r>
          </w:p>
        </w:tc>
      </w:tr>
    </w:tbl>
    <w:p>
      <w:pPr>
        <w:pStyle w:val="Normal"/>
        <w:rPr>
          <w:sz w:val="18"/>
        </w:rPr>
      </w:pPr>
      <w:r>
        <w:br w:type="page"/>
      </w:r>
      <w:r>
        <w:rPr>
          <w:sz w:val="18"/>
        </w:rPr>
      </w:r>
    </w:p>
    <w:p>
      <w:pPr>
        <w:pStyle w:val="Normal"/>
        <w:jc w:val="center"/>
        <w:rPr>
          <w:sz w:val="18"/>
        </w:rPr>
      </w:pPr>
      <w:r>
        <w:rPr>
          <w:sz w:val="18"/>
        </w:rPr>
        <w:t>TRANSPORT OPTION AGREEMENT - FORM O</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r>
      <w:bookmarkStart w:id="15" w:name="dLegalNameAppA1"/>
      <w:bookmarkStart w:id="16" w:name="dLegalNameAppA1"/>
      <w:bookmarkEnd w:id="16"/>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 xml:space="preserve">Receipt Quantity </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17" w:name="receipt1appa"/>
            <w:bookmarkStart w:id="18" w:name="receipt1appa"/>
            <w:bookmarkEnd w:id="18"/>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t xml:space="preserve">    </w:t>
            </w:r>
            <w:r>
              <w:rPr/>
              <w:t>Maximum Daily</w:t>
            </w:r>
          </w:p>
        </w:tc>
      </w:tr>
      <w:tr>
        <w:trPr/>
        <w:tc>
          <w:tcPr>
            <w:tcW w:w="2160" w:type="dxa"/>
            <w:tcBorders>
              <w:bottom w:val="single" w:sz="6" w:space="0" w:color="000000"/>
            </w:tcBorders>
          </w:tcPr>
          <w:p>
            <w:pPr>
              <w:pStyle w:val="Normal"/>
              <w:jc w:val="center"/>
              <w:rPr/>
            </w:pPr>
            <w:r>
              <w:rPr/>
              <w:t xml:space="preserve"> </w:t>
            </w:r>
            <w:r>
              <w:rPr/>
              <w:t xml:space="preserve">of Delivery </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 xml:space="preserve">Delivery Quantity </w:t>
            </w:r>
          </w:p>
        </w:tc>
      </w:tr>
    </w:tbl>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Courier" w:hAnsi="Courier" w:cs="Courie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2000-08-01T15:42:00Z</dcterms:created>
  <dc:creator>Susan Scott</dc:creator>
  <dc:description/>
  <dc:language>en-CA</dc:language>
  <cp:lastModifiedBy>Susan Scott</cp:lastModifiedBy>
  <cp:lastPrinted>2000-07-18T18:04:00Z</cp:lastPrinted>
  <dcterms:modified xsi:type="dcterms:W3CDTF">2000-08-01T15:42:00Z</dcterms:modified>
  <cp:revision>2</cp:revision>
  <dc:subject/>
  <dc:title>TRANSPORT OPTION AGREEMENT</dc:title>
</cp:coreProperties>
</file>