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single"/>
        </w:rPr>
      </w:pPr>
      <w:r>
        <w:rPr>
          <w:u w:val="single"/>
        </w:rPr>
        <w:t>STATUS REPORT-TRANSPORTATION AND STORAGE CAPACITY RELEASE/EXECUTORY CONTRACT REJECTION &amp; ASSUMPTION</w:t>
      </w:r>
    </w:p>
    <w:p>
      <w:pPr>
        <w:pStyle w:val="Normal"/>
        <w:rPr>
          <w:b/>
          <w:bCs/>
          <w:u w:val="single"/>
        </w:rPr>
      </w:pPr>
      <w:r>
        <w:rPr>
          <w:b/>
          <w:bCs/>
          <w:u w:val="single"/>
        </w:rPr>
      </w:r>
    </w:p>
    <w:tbl>
      <w:tblPr>
        <w:tblW w:w="18859" w:type="dxa"/>
        <w:jc w:val="start"/>
        <w:tblInd w:w="0" w:type="dxa"/>
        <w:tblLayout w:type="fixed"/>
        <w:tblCellMar>
          <w:top w:w="0" w:type="dxa"/>
          <w:start w:w="108" w:type="dxa"/>
          <w:bottom w:w="0" w:type="dxa"/>
          <w:end w:w="108" w:type="dxa"/>
        </w:tblCellMar>
      </w:tblPr>
      <w:tblGrid>
        <w:gridCol w:w="1308"/>
        <w:gridCol w:w="2444"/>
        <w:gridCol w:w="4106"/>
        <w:gridCol w:w="170"/>
        <w:gridCol w:w="3960"/>
        <w:gridCol w:w="530"/>
        <w:gridCol w:w="6310"/>
        <w:gridCol w:w="31"/>
      </w:tblGrid>
      <w:tr>
        <w:trPr/>
        <w:tc>
          <w:tcPr>
            <w:tcW w:w="1308" w:type="dxa"/>
            <w:tcBorders>
              <w:top w:val="single" w:sz="4" w:space="0" w:color="000000"/>
              <w:start w:val="single" w:sz="4" w:space="0" w:color="000000"/>
              <w:bottom w:val="single" w:sz="4" w:space="0" w:color="000000"/>
              <w:end w:val="single" w:sz="4" w:space="0" w:color="000000"/>
            </w:tcBorders>
          </w:tcPr>
          <w:p>
            <w:pPr>
              <w:pStyle w:val="Heading2"/>
              <w:ind w:hanging="0" w:start="0"/>
              <w:rPr>
                <w:u w:val="single"/>
              </w:rPr>
            </w:pPr>
            <w:r>
              <w:rPr>
                <w:u w:val="single"/>
              </w:rPr>
              <w:t>PIPELINE</w:t>
            </w:r>
          </w:p>
          <w:p>
            <w:pPr>
              <w:pStyle w:val="Normal"/>
              <w:rPr>
                <w:u w:val="single"/>
              </w:rPr>
            </w:pPr>
            <w:r>
              <w:rPr>
                <w:u w:val="single"/>
              </w:rPr>
            </w:r>
          </w:p>
        </w:tc>
        <w:tc>
          <w:tcPr>
            <w:tcW w:w="2444" w:type="dxa"/>
            <w:tcBorders>
              <w:top w:val="single" w:sz="4" w:space="0" w:color="000000"/>
              <w:start w:val="single" w:sz="4" w:space="0" w:color="000000"/>
              <w:bottom w:val="single" w:sz="4" w:space="0" w:color="000000"/>
              <w:end w:val="single" w:sz="4" w:space="0" w:color="000000"/>
            </w:tcBorders>
          </w:tcPr>
          <w:p>
            <w:pPr>
              <w:pStyle w:val="Heading2"/>
              <w:ind w:hanging="0" w:start="0"/>
              <w:rPr>
                <w:u w:val="single"/>
              </w:rPr>
            </w:pPr>
            <w:r>
              <w:rPr>
                <w:u w:val="single"/>
              </w:rPr>
              <w:t>CAPACITY INVOLVED</w:t>
            </w:r>
          </w:p>
        </w:tc>
        <w:tc>
          <w:tcPr>
            <w:tcW w:w="4106" w:type="dxa"/>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sz w:val="20"/>
                <w:u w:val="single"/>
              </w:rPr>
              <w:t>LATEST ACTION TAKEN OR EXPECTED</w:t>
            </w:r>
          </w:p>
        </w:tc>
        <w:tc>
          <w:tcPr>
            <w:tcW w:w="4130" w:type="dxa"/>
            <w:gridSpan w:val="2"/>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sz w:val="20"/>
                <w:u w:val="single"/>
              </w:rPr>
              <w:t>ACTION STEPS REQUIRED</w:t>
            </w:r>
          </w:p>
        </w:tc>
        <w:tc>
          <w:tcPr>
            <w:tcW w:w="6871" w:type="dxa"/>
            <w:gridSpan w:val="3"/>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sz w:val="20"/>
                <w:u w:val="single"/>
              </w:rPr>
              <w:t>ADDITIONAL INFORMATION</w:t>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Trailblazer</w:t>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b/>
                <w:bCs/>
                <w:sz w:val="20"/>
              </w:rPr>
              <w:t>Transport</w:t>
            </w:r>
            <w:r>
              <w:rPr>
                <w:sz w:val="20"/>
              </w:rPr>
              <w:t>: 25,000 MMBtu</w:t>
            </w:r>
          </w:p>
        </w:tc>
        <w:tc>
          <w:tcPr>
            <w:tcW w:w="410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1/24 Ruth attempted to post release through 9/30/2002; need download on whether request was denied.</w:t>
            </w:r>
          </w:p>
          <w:p>
            <w:pPr>
              <w:pStyle w:val="Normal"/>
              <w:rPr>
                <w:sz w:val="20"/>
              </w:rPr>
            </w:pPr>
            <w:r>
              <w:rPr>
                <w:sz w:val="20"/>
              </w:rPr>
              <w:t>1/24 Weil Gotshall filed ENA’s responsive letter brief prepared by Mark Ellenberg (Cadwalader 202-862-2234)</w:t>
            </w:r>
          </w:p>
          <w:p>
            <w:pPr>
              <w:pStyle w:val="Normal"/>
              <w:rPr>
                <w:sz w:val="20"/>
              </w:rPr>
            </w:pPr>
            <w:r>
              <w:rPr>
                <w:sz w:val="20"/>
              </w:rPr>
              <w:t>1/25 Judge is scheduled to rule on Trailblazer/NGPL Motion to require Assumption or Rejection of Contracts</w:t>
            </w:r>
          </w:p>
        </w:tc>
        <w:tc>
          <w:tcPr>
            <w:tcW w:w="413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Because Trailblazer has delisted the transportation agreement from its capacity release system, ENA is currently unable to effect release of capacity at greater than max rate through 9/30/02.  SVH has spoken with FERC Enforcement Division's Charles Reusch (202)208-0401 at 11:15 on 1-25-02 about this violation of Trailblazer's Tariff and FERC's Capacity Release Rules and is awaiting a call back.</w:t>
            </w:r>
          </w:p>
          <w:p>
            <w:pPr>
              <w:pStyle w:val="Normal"/>
              <w:rPr>
                <w:sz w:val="20"/>
              </w:rPr>
            </w:pPr>
            <w:r>
              <w:rPr>
                <w:sz w:val="20"/>
              </w:rPr>
              <w:t>Determine whether to permanently release or retain transport capacity for remainder of term extending through 5/31/04</w:t>
            </w:r>
          </w:p>
          <w:p>
            <w:pPr>
              <w:pStyle w:val="Normal"/>
              <w:rPr>
                <w:sz w:val="20"/>
              </w:rPr>
            </w:pPr>
            <w:r>
              <w:rPr>
                <w:sz w:val="20"/>
              </w:rPr>
            </w:r>
          </w:p>
        </w:tc>
        <w:tc>
          <w:tcPr>
            <w:tcW w:w="6871" w:type="dxa"/>
            <w:gridSpan w:val="3"/>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This is likely the most valuable package of transportation capacity held by ENA.  It was posted for release last week and the short term release garner a winning bid of &gt; 500% of the $0.12 Max Rate from BP.  Dynegy complained to FERC Enforcement that requiring the winning bidder to win both short term (thru 9/30/02) and long term releases, constitutes an impermissible condition which created a violation of FERC’s maximum rate.  Due to expectation that Dynegy would file a Complaint and that FERC Enforcement would support Dynegy’s position, ENA consented to Trailblazer’s revoking the award of capacity to BP.  ENA now desires to post just the short term release, with no linking.  Despite the inconsistency of its position, Trailblazer now takes the position that ENA is not allowed to post capacity for release unless and until it assumes the contract and cures all existing breaches.  We do not believe that to be the law.  See arguments in 1/24/02 responsive brief.</w:t>
            </w:r>
          </w:p>
          <w:p>
            <w:pPr>
              <w:pStyle w:val="Normal"/>
              <w:rPr>
                <w:sz w:val="20"/>
              </w:rPr>
            </w:pPr>
            <w:r>
              <w:rPr>
                <w:sz w:val="20"/>
              </w:rPr>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NGPL</w:t>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b/>
                <w:bCs/>
                <w:sz w:val="20"/>
              </w:rPr>
              <w:t>Transport</w:t>
            </w:r>
            <w:r>
              <w:rPr>
                <w:sz w:val="20"/>
              </w:rPr>
              <w:t>: 4 FT Service Agreements totaling 184,000 MMBtu</w:t>
            </w:r>
          </w:p>
          <w:p>
            <w:pPr>
              <w:pStyle w:val="Normal"/>
              <w:rPr>
                <w:sz w:val="20"/>
              </w:rPr>
            </w:pPr>
            <w:r>
              <w:rPr>
                <w:sz w:val="20"/>
              </w:rPr>
              <w:t>2 Ks totaling 159,000 MMBtu used to transport gas to Peoples and North Shore</w:t>
            </w:r>
          </w:p>
          <w:p>
            <w:pPr>
              <w:pStyle w:val="Normal"/>
              <w:rPr>
                <w:sz w:val="20"/>
              </w:rPr>
            </w:pPr>
            <w:r>
              <w:rPr>
                <w:sz w:val="20"/>
              </w:rPr>
              <w:t>Remaining 25,000 MMBtu is the real subject of dispute</w:t>
            </w:r>
          </w:p>
          <w:p>
            <w:pPr>
              <w:pStyle w:val="Normal"/>
              <w:rPr/>
            </w:pPr>
            <w:r>
              <w:rPr>
                <w:b/>
                <w:bCs/>
                <w:sz w:val="20"/>
              </w:rPr>
              <w:t xml:space="preserve">Storage: </w:t>
            </w:r>
            <w:r>
              <w:rPr>
                <w:sz w:val="20"/>
              </w:rPr>
              <w:t>2 FT Storage Agreements with combined 31,616 withdrawal rights.  Gas balance in storage equals _____________</w:t>
            </w:r>
          </w:p>
          <w:p>
            <w:pPr>
              <w:pStyle w:val="Normal"/>
              <w:rPr>
                <w:sz w:val="20"/>
              </w:rPr>
            </w:pPr>
            <w:r>
              <w:rPr>
                <w:sz w:val="20"/>
              </w:rPr>
            </w:r>
          </w:p>
        </w:tc>
        <w:tc>
          <w:tcPr>
            <w:tcW w:w="410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1/24 Weil Gotshall filed ENA’s responsive letter brief prepared by Mark Ellenberg (Cadwalader 202-862-2234)</w:t>
            </w:r>
          </w:p>
          <w:p>
            <w:pPr>
              <w:pStyle w:val="Normal"/>
              <w:rPr>
                <w:sz w:val="20"/>
              </w:rPr>
            </w:pPr>
            <w:r>
              <w:rPr>
                <w:sz w:val="20"/>
              </w:rPr>
              <w:t>1/25 Judge is scheduled to rule on Trailblazer/NGPL Motion to require Assumption or Rejection of Contracts</w:t>
            </w:r>
          </w:p>
          <w:p>
            <w:pPr>
              <w:pStyle w:val="Normal"/>
              <w:rPr>
                <w:sz w:val="20"/>
              </w:rPr>
            </w:pPr>
            <w:r>
              <w:rPr>
                <w:sz w:val="20"/>
              </w:rPr>
            </w:r>
          </w:p>
        </w:tc>
        <w:tc>
          <w:tcPr>
            <w:tcW w:w="4130"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0"/>
              </w:rPr>
              <w:t xml:space="preserve">ENA wants to release 25,000 MMBtu of Transportation capacity, on a permanent basis is possible; if not, we’d post for partial release and subsequently reject the contracts.  </w:t>
            </w:r>
            <w:r>
              <w:rPr>
                <w:b/>
                <w:bCs/>
                <w:sz w:val="20"/>
              </w:rPr>
              <w:t>We may elect to reject this capacity in return for right to release Trailblazer.</w:t>
            </w:r>
          </w:p>
          <w:p>
            <w:pPr>
              <w:pStyle w:val="Normal"/>
              <w:rPr>
                <w:b/>
                <w:bCs/>
                <w:sz w:val="20"/>
              </w:rPr>
            </w:pPr>
            <w:r>
              <w:rPr>
                <w:b/>
                <w:bCs/>
                <w:sz w:val="20"/>
              </w:rPr>
            </w:r>
          </w:p>
          <w:p>
            <w:pPr>
              <w:pStyle w:val="Normal"/>
              <w:rPr>
                <w:sz w:val="20"/>
              </w:rPr>
            </w:pPr>
            <w:r>
              <w:rPr>
                <w:sz w:val="20"/>
              </w:rPr>
              <w:t>NGPL has orally agreed that ENA is entitled to  time to decide whether to assume or reject the Peoples and North Shore Contracts, as ENA’s need for these contracts depends on resolution of People’s/Northshore sales service transaction.</w:t>
            </w:r>
          </w:p>
          <w:p>
            <w:pPr>
              <w:pStyle w:val="Normal"/>
              <w:rPr>
                <w:sz w:val="20"/>
              </w:rPr>
            </w:pPr>
            <w:r>
              <w:rPr>
                <w:sz w:val="20"/>
              </w:rPr>
            </w:r>
          </w:p>
          <w:p>
            <w:pPr>
              <w:pStyle w:val="Normal"/>
              <w:rPr>
                <w:sz w:val="20"/>
              </w:rPr>
            </w:pPr>
            <w:r>
              <w:rPr>
                <w:sz w:val="20"/>
              </w:rPr>
              <w:t>ENA wants to sell its storage balance in place (El Paso and Oxy are top prospects at this time).  If the sale is made to El Paso (or another buyer who currently holds NGPL NNS storage, release of the Storage Contract is not required.  This makes El Paso best candidate.  SVH to negotiate Transfer In Place Contract with El Paso’s attorney on 1/25/02.</w:t>
            </w:r>
          </w:p>
        </w:tc>
        <w:tc>
          <w:tcPr>
            <w:tcW w:w="6871" w:type="dxa"/>
            <w:gridSpan w:val="3"/>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Procedurally, all Trailblazer and NGPL matters are being handled at the same time due to their affiliation.  Any settlement would likely cover all storage and transport issues involving the two pipelines.  Settlement not likely pending receipt of Judge’s ruling on Trailblazer/NGPL Motion to Assume or Reject, expected Friday, January 25, 2002.</w:t>
            </w:r>
          </w:p>
        </w:tc>
      </w:tr>
      <w:tr>
        <w:trPr/>
        <w:tc>
          <w:tcPr>
            <w:tcW w:w="1308" w:type="dxa"/>
            <w:tcBorders>
              <w:top w:val="single" w:sz="4" w:space="0" w:color="000000"/>
              <w:start w:val="single" w:sz="4" w:space="0" w:color="000000"/>
              <w:bottom w:val="single" w:sz="4" w:space="0" w:color="000000"/>
              <w:end w:val="single" w:sz="4" w:space="0" w:color="000000"/>
            </w:tcBorders>
          </w:tcPr>
          <w:p>
            <w:pPr>
              <w:pStyle w:val="Heading2"/>
              <w:ind w:hanging="0" w:start="0"/>
              <w:rPr>
                <w:u w:val="single"/>
              </w:rPr>
            </w:pPr>
            <w:r>
              <w:rPr>
                <w:u w:val="single"/>
              </w:rPr>
              <w:t>PIPELINE</w:t>
            </w:r>
          </w:p>
          <w:p>
            <w:pPr>
              <w:pStyle w:val="Normal"/>
              <w:rPr>
                <w:u w:val="single"/>
              </w:rPr>
            </w:pPr>
            <w:r>
              <w:rPr>
                <w:u w:val="single"/>
              </w:rPr>
            </w:r>
          </w:p>
        </w:tc>
        <w:tc>
          <w:tcPr>
            <w:tcW w:w="2444" w:type="dxa"/>
            <w:tcBorders>
              <w:top w:val="single" w:sz="4" w:space="0" w:color="000000"/>
              <w:start w:val="single" w:sz="4" w:space="0" w:color="000000"/>
              <w:bottom w:val="single" w:sz="4" w:space="0" w:color="000000"/>
              <w:end w:val="single" w:sz="4" w:space="0" w:color="000000"/>
            </w:tcBorders>
          </w:tcPr>
          <w:p>
            <w:pPr>
              <w:pStyle w:val="Heading2"/>
              <w:ind w:hanging="0" w:start="0"/>
              <w:rPr>
                <w:u w:val="single"/>
              </w:rPr>
            </w:pPr>
            <w:r>
              <w:rPr>
                <w:u w:val="single"/>
              </w:rPr>
              <w:t>CAPACITY INVOLVED</w:t>
            </w:r>
          </w:p>
        </w:tc>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sz w:val="20"/>
                <w:u w:val="single"/>
              </w:rPr>
              <w:t>LATEST ACTION TAKEN OR EXPECTED</w:t>
            </w:r>
          </w:p>
        </w:tc>
        <w:tc>
          <w:tcPr>
            <w:tcW w:w="4490" w:type="dxa"/>
            <w:gridSpan w:val="2"/>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sz w:val="20"/>
                <w:u w:val="single"/>
              </w:rPr>
              <w:t>ACTION STEPS REQUIRED</w:t>
            </w:r>
          </w:p>
        </w:tc>
        <w:tc>
          <w:tcPr>
            <w:tcW w:w="6310" w:type="dxa"/>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sz w:val="20"/>
                <w:u w:val="single"/>
              </w:rPr>
              <w:t>ADDITIONAL INFORMATION</w:t>
            </w:r>
          </w:p>
        </w:tc>
        <w:tc>
          <w:tcPr>
            <w:tcW w:w="31" w:type="dxa"/>
            <w:tcBorders/>
            <w:tcMar>
              <w:start w:w="0" w:type="dxa"/>
              <w:end w:w="0" w:type="dxa"/>
            </w:tcMar>
          </w:tcPr>
          <w:p>
            <w:pPr>
              <w:pStyle w:val="Normal"/>
              <w:snapToGrid w:val="false"/>
              <w:rPr>
                <w:b/>
                <w:bCs/>
                <w:sz w:val="20"/>
                <w:u w:val="single"/>
              </w:rPr>
            </w:pPr>
            <w:r>
              <w:rPr>
                <w:b/>
                <w:bCs/>
                <w:sz w:val="20"/>
                <w:u w:val="single"/>
              </w:rPr>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Columbia Transmission</w:t>
            </w:r>
          </w:p>
        </w:tc>
        <w:tc>
          <w:tcPr>
            <w:tcW w:w="2444" w:type="dxa"/>
            <w:tcBorders>
              <w:top w:val="single" w:sz="4" w:space="0" w:color="000000"/>
              <w:start w:val="single" w:sz="4" w:space="0" w:color="000000"/>
              <w:bottom w:val="single" w:sz="4" w:space="0" w:color="000000"/>
              <w:end w:val="single" w:sz="4" w:space="0" w:color="000000"/>
            </w:tcBorders>
          </w:tcPr>
          <w:p>
            <w:pPr>
              <w:pStyle w:val="Normal"/>
              <w:rPr/>
            </w:pPr>
            <w:r>
              <w:rPr>
                <w:b/>
                <w:bCs/>
                <w:sz w:val="20"/>
              </w:rPr>
              <w:t xml:space="preserve">Storage:  </w:t>
            </w:r>
            <w:r>
              <w:rPr>
                <w:sz w:val="20"/>
              </w:rPr>
              <w:t>620,000 MMBtu  of ISS Gas with 10,000 MMBtu/day withdrawal rights</w:t>
            </w:r>
          </w:p>
          <w:p>
            <w:pPr>
              <w:pStyle w:val="Normal"/>
              <w:rPr>
                <w:sz w:val="20"/>
              </w:rPr>
            </w:pPr>
            <w:r>
              <w:rPr>
                <w:sz w:val="20"/>
              </w:rPr>
            </w:r>
          </w:p>
        </w:tc>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As Columbia seems intent on retaining the entire gas storage balance in order to set off against obligations that may be owed by ENA to non-Columbia Transmission affiliates, we need bankruptcy court action in order to be able to sell the gas</w:t>
            </w:r>
          </w:p>
        </w:tc>
        <w:tc>
          <w:tcPr>
            <w:tcW w:w="4490" w:type="dxa"/>
            <w:gridSpan w:val="2"/>
            <w:tcBorders>
              <w:top w:val="single" w:sz="4" w:space="0" w:color="000000"/>
              <w:start w:val="single" w:sz="4" w:space="0" w:color="000000"/>
              <w:bottom w:val="single" w:sz="4" w:space="0" w:color="000000"/>
              <w:end w:val="single" w:sz="4" w:space="0" w:color="000000"/>
            </w:tcBorders>
          </w:tcPr>
          <w:p>
            <w:pPr>
              <w:pStyle w:val="Normal"/>
              <w:rPr/>
            </w:pPr>
            <w:r>
              <w:rPr>
                <w:sz w:val="20"/>
              </w:rPr>
              <w:t xml:space="preserve">Cadwalader's Rick Antonoff and Mark Ellenberg are finalizing an Injunction Motion.  It should outline the inconsistent positions presented my Columbia throughout the course of January and seek release of ENA's gas pending resolution of the merits of Columbia's varying positions.  Anticipate receiving a draft Friday (1-25) or Monday (1-28). </w:t>
            </w:r>
            <w:r>
              <w:rPr>
                <w:b/>
                <w:bCs/>
                <w:sz w:val="20"/>
              </w:rPr>
              <w:t>Bankruptcy Committee approval may be required as a condition to filing Injunction.</w:t>
            </w:r>
          </w:p>
          <w:p>
            <w:pPr>
              <w:pStyle w:val="Normal"/>
              <w:rPr>
                <w:b/>
                <w:bCs/>
                <w:sz w:val="20"/>
              </w:rPr>
            </w:pPr>
            <w:r>
              <w:rPr>
                <w:b/>
                <w:bCs/>
                <w:sz w:val="20"/>
              </w:rPr>
            </w:r>
          </w:p>
        </w:tc>
        <w:tc>
          <w:tcPr>
            <w:tcW w:w="63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Columbia initially asserted it Recoupment defense as justification for not honoring ENA's withdraw request.   ENA contract at the end of December 2001 to sell gas out of storage to Columbia of Ohio (an affiliate).  Prices have dropped at least $0.40/MMBtu since ENA's sales efforts were frustrated.  Columbia has more recently asserted Setoff as the basis for denying ENA's withdrawal nominations.  Finally, on Tuesday of this week (1-1-22-02), Columbia's Michael Watson informed Ed McMichael that Columbia would be filing a Mortion with the Court seeking authority to foreclose on certain lien rights.  So far nothing has been filed.</w:t>
            </w:r>
          </w:p>
        </w:tc>
        <w:tc>
          <w:tcPr>
            <w:tcW w:w="31" w:type="dxa"/>
            <w:tcBorders/>
            <w:tcMar>
              <w:start w:w="0" w:type="dxa"/>
              <w:end w:w="0" w:type="dxa"/>
            </w:tcMar>
          </w:tcPr>
          <w:p>
            <w:pPr>
              <w:pStyle w:val="Normal"/>
              <w:snapToGrid w:val="false"/>
              <w:rPr>
                <w:sz w:val="20"/>
              </w:rPr>
            </w:pPr>
            <w:r>
              <w:rPr>
                <w:sz w:val="20"/>
              </w:rPr>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Northern Border</w:t>
            </w:r>
          </w:p>
        </w:tc>
        <w:tc>
          <w:tcPr>
            <w:tcW w:w="2444"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Transportation</w:t>
            </w:r>
          </w:p>
        </w:tc>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Capacity has already been released back to Canadian Natural Resources.</w:t>
            </w:r>
          </w:p>
          <w:p>
            <w:pPr>
              <w:pStyle w:val="Normal"/>
              <w:rPr>
                <w:sz w:val="20"/>
              </w:rPr>
            </w:pPr>
            <w:r>
              <w:rPr>
                <w:sz w:val="20"/>
              </w:rPr>
              <w:t>Several more releases for the benefit of the primary shippers (Birchill Resources &amp; EOG); however, NBPL's attny Eva Neufeld (402-398-7889) now asserts that their bankruptcy counsel have advised that in light of the pending motion for appointment of a Trustee, no further releases should be undertaken absent court approval</w:t>
            </w:r>
          </w:p>
        </w:tc>
        <w:tc>
          <w:tcPr>
            <w:tcW w:w="449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Need Mark Ellenberg to speak with NBPL's outside bankruptcy counsel.  SVH coordinating.</w:t>
            </w:r>
          </w:p>
        </w:tc>
        <w:tc>
          <w:tcPr>
            <w:tcW w:w="63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 w:type="dxa"/>
            <w:tcBorders/>
            <w:tcMar>
              <w:start w:w="0" w:type="dxa"/>
              <w:end w:w="0" w:type="dxa"/>
            </w:tcMar>
          </w:tcPr>
          <w:p>
            <w:pPr>
              <w:pStyle w:val="Normal"/>
              <w:snapToGrid w:val="false"/>
              <w:rPr>
                <w:sz w:val="20"/>
              </w:rPr>
            </w:pPr>
            <w:r>
              <w:rPr>
                <w:sz w:val="20"/>
              </w:rPr>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Transwestern</w:t>
            </w:r>
          </w:p>
        </w:tc>
        <w:tc>
          <w:tcPr>
            <w:tcW w:w="2444"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 xml:space="preserve">Transportation:  </w:t>
            </w:r>
            <w:r>
              <w:rPr>
                <w:b w:val="false"/>
                <w:bCs w:val="false"/>
              </w:rPr>
              <w:t>41,000 MMBtu</w:t>
            </w:r>
          </w:p>
        </w:tc>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Capacity was released to TW as agent for January 2002 under letter agreement under which TW waives right to seek deficiency from ENA for releases made at less than max rate.</w:t>
            </w:r>
          </w:p>
        </w:tc>
        <w:tc>
          <w:tcPr>
            <w:tcW w:w="449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ENA has allowed TW to release capacity on its behalf; it may terminate such arrangement with 10 days notice.  Needs to determine whether to make effort to permanently release the TW capacity.</w:t>
            </w:r>
          </w:p>
        </w:tc>
        <w:tc>
          <w:tcPr>
            <w:tcW w:w="63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 w:type="dxa"/>
            <w:tcBorders/>
            <w:tcMar>
              <w:start w:w="0" w:type="dxa"/>
              <w:end w:w="0" w:type="dxa"/>
            </w:tcMar>
          </w:tcPr>
          <w:p>
            <w:pPr>
              <w:pStyle w:val="Normal"/>
              <w:snapToGrid w:val="false"/>
              <w:rPr>
                <w:sz w:val="20"/>
              </w:rPr>
            </w:pPr>
            <w:r>
              <w:rPr>
                <w:sz w:val="20"/>
              </w:rPr>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Florida Gas Transmission</w:t>
            </w:r>
          </w:p>
        </w:tc>
        <w:tc>
          <w:tcPr>
            <w:tcW w:w="2444"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Transportation:</w:t>
            </w:r>
          </w:p>
        </w:tc>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Attempts to release capacity on a month-to-month basis have failed to be documented.</w:t>
            </w:r>
          </w:p>
        </w:tc>
        <w:tc>
          <w:tcPr>
            <w:tcW w:w="449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FGT is inquiring whether we have made a determination on rejecting transportation contracts.  Owe a response to Frazier King's phone call of Wednesday, 1/23/02.</w:t>
            </w:r>
          </w:p>
        </w:tc>
        <w:tc>
          <w:tcPr>
            <w:tcW w:w="63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 w:type="dxa"/>
            <w:tcBorders/>
            <w:tcMar>
              <w:start w:w="0" w:type="dxa"/>
              <w:end w:w="0" w:type="dxa"/>
            </w:tcMar>
          </w:tcPr>
          <w:p>
            <w:pPr>
              <w:pStyle w:val="Normal"/>
              <w:snapToGrid w:val="false"/>
              <w:rPr>
                <w:sz w:val="20"/>
              </w:rPr>
            </w:pPr>
            <w:r>
              <w:rPr>
                <w:sz w:val="20"/>
              </w:rPr>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Pacific Gas Transmission</w:t>
            </w:r>
          </w:p>
        </w:tc>
        <w:tc>
          <w:tcPr>
            <w:tcW w:w="2444"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 xml:space="preserve">Transportation: </w:t>
            </w:r>
            <w:r>
              <w:rPr>
                <w:b w:val="false"/>
                <w:bCs w:val="false"/>
              </w:rPr>
              <w:t>75,000MMBtu</w:t>
            </w:r>
          </w:p>
        </w:tc>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Have finalized language for a conditional release allowing bidders the right to make their bids subject to the condition that they are successful in acquiring upstream Canadian capacity.</w:t>
            </w:r>
          </w:p>
        </w:tc>
        <w:tc>
          <w:tcPr>
            <w:tcW w:w="449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Ruth Concannon caused all of this capacity to be posted for permanent release on 1-24-02.  Posting period will end on Wednesday, 1-30-02.</w:t>
            </w:r>
          </w:p>
        </w:tc>
        <w:tc>
          <w:tcPr>
            <w:tcW w:w="63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 w:type="dxa"/>
            <w:tcBorders/>
            <w:tcMar>
              <w:start w:w="0" w:type="dxa"/>
              <w:end w:w="0" w:type="dxa"/>
            </w:tcMar>
          </w:tcPr>
          <w:p>
            <w:pPr>
              <w:pStyle w:val="Normal"/>
              <w:snapToGrid w:val="false"/>
              <w:rPr>
                <w:sz w:val="20"/>
              </w:rPr>
            </w:pPr>
            <w:r>
              <w:rPr>
                <w:sz w:val="20"/>
              </w:rPr>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Iroquois</w:t>
            </w:r>
          </w:p>
          <w:p>
            <w:pPr>
              <w:pStyle w:val="Normal"/>
              <w:rPr>
                <w:sz w:val="20"/>
              </w:rPr>
            </w:pPr>
            <w:r>
              <w:rPr>
                <w:sz w:val="20"/>
              </w:rPr>
              <w:t>Tennessee Keyspan</w:t>
            </w:r>
          </w:p>
        </w:tc>
        <w:tc>
          <w:tcPr>
            <w:tcW w:w="2444"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Transportation</w:t>
            </w:r>
          </w:p>
        </w:tc>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Stipulation allowing return of Iroquois and Tennessee capacity to Keyspan on a month to month basis is approved. </w:t>
            </w:r>
          </w:p>
        </w:tc>
        <w:tc>
          <w:tcPr>
            <w:tcW w:w="449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Need to speak to Canadian office about their upstream capacity plans and their downstream market.</w:t>
            </w:r>
          </w:p>
        </w:tc>
        <w:tc>
          <w:tcPr>
            <w:tcW w:w="63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 w:type="dxa"/>
            <w:tcBorders/>
            <w:tcMar>
              <w:start w:w="0" w:type="dxa"/>
              <w:end w:w="0" w:type="dxa"/>
            </w:tcMar>
          </w:tcPr>
          <w:p>
            <w:pPr>
              <w:pStyle w:val="Normal"/>
              <w:snapToGrid w:val="false"/>
              <w:rPr>
                <w:sz w:val="20"/>
              </w:rPr>
            </w:pPr>
            <w:r>
              <w:rPr>
                <w:sz w:val="20"/>
              </w:rPr>
            </w:r>
          </w:p>
        </w:tc>
      </w:tr>
      <w:tr>
        <w:trPr/>
        <w:tc>
          <w:tcPr>
            <w:tcW w:w="13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Williston Basin</w:t>
            </w:r>
          </w:p>
        </w:tc>
        <w:tc>
          <w:tcPr>
            <w:tcW w:w="2444"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Storage:</w:t>
            </w:r>
          </w:p>
        </w:tc>
        <w:tc>
          <w:tcPr>
            <w:tcW w:w="4276"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ENA prepared to pay $39,247 in storage fees ($3816 prepetition) in order to obtain release of 146,722  MMBtu of gas.</w:t>
            </w:r>
          </w:p>
        </w:tc>
        <w:tc>
          <w:tcPr>
            <w:tcW w:w="4490" w:type="dxa"/>
            <w:gridSpan w:val="2"/>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Kelli Little can provide update.</w:t>
            </w:r>
          </w:p>
        </w:tc>
        <w:tc>
          <w:tcPr>
            <w:tcW w:w="63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31" w:type="dxa"/>
            <w:tcBorders/>
            <w:tcMar>
              <w:start w:w="0" w:type="dxa"/>
              <w:end w:w="0" w:type="dxa"/>
            </w:tcMar>
          </w:tcPr>
          <w:p>
            <w:pPr>
              <w:pStyle w:val="Normal"/>
              <w:snapToGrid w:val="false"/>
              <w:rPr>
                <w:sz w:val="20"/>
              </w:rPr>
            </w:pPr>
            <w:r>
              <w:rPr>
                <w:sz w:val="20"/>
              </w:rPr>
            </w:r>
          </w:p>
        </w:tc>
      </w:tr>
    </w:tbl>
    <w:p>
      <w:pPr>
        <w:pStyle w:val="Normal"/>
        <w:rPr/>
      </w:pPr>
      <w:r>
        <w:rPr/>
      </w:r>
    </w:p>
    <w:sectPr>
      <w:headerReference w:type="default" r:id="rId2"/>
      <w:type w:val="nextPage"/>
      <w:pgSz w:orient="landscape" w:w="20160" w:h="12240"/>
      <w:pgMar w:left="1152" w:right="1152" w:gutter="0" w:header="432"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January 25, 2002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2002-01-25T11:32:00Z</dcterms:created>
  <dc:creator>Preferred Customer</dc:creator>
  <dc:description/>
  <dc:language>en-CA</dc:language>
  <cp:lastModifiedBy>svanhoo</cp:lastModifiedBy>
  <cp:lastPrinted>2002-01-25T08:57:00Z</cp:lastPrinted>
  <dcterms:modified xsi:type="dcterms:W3CDTF">2002-01-25T15:48:00Z</dcterms:modified>
  <cp:revision>10</cp:revision>
  <dc:subject/>
  <dc:title>STATUS REPORT-TRANSPORTATION AND STORAGE CAPACITY RELEASE/EXECUTORY CONTRACT REJECTION &amp; ASSUMPTION</dc:title>
</cp:coreProperties>
</file>