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t>Enron Transportation Services Company</w:t>
      </w:r>
    </w:p>
    <w:p>
      <w:pPr>
        <w:pStyle w:val="Header"/>
        <w:tabs>
          <w:tab w:val="clear" w:pos="4320"/>
          <w:tab w:val="clear" w:pos="8640"/>
        </w:tabs>
        <w:jc w:val="both"/>
        <w:rPr>
          <w:sz w:val="22"/>
        </w:rPr>
      </w:pPr>
      <w:r>
        <w:rPr>
          <w:sz w:val="22"/>
        </w:rPr>
        <w:t>1400 Smith Street</w:t>
      </w:r>
    </w:p>
    <w:p>
      <w:pPr>
        <w:pStyle w:val="Header"/>
        <w:tabs>
          <w:tab w:val="clear" w:pos="4320"/>
          <w:tab w:val="clear" w:pos="8640"/>
        </w:tabs>
        <w:jc w:val="both"/>
        <w:rPr>
          <w:sz w:val="22"/>
        </w:rPr>
      </w:pPr>
      <w:r>
        <w:rPr>
          <w:sz w:val="22"/>
        </w:rPr>
        <w:t>Houston, Texas 77002</w:t>
      </w:r>
    </w:p>
    <w:p>
      <w:pPr>
        <w:pStyle w:val="Normal"/>
        <w:jc w:val="both"/>
        <w:rPr>
          <w:sz w:val="22"/>
        </w:rPr>
      </w:pPr>
      <w:r>
        <w:rPr>
          <w:sz w:val="22"/>
        </w:rPr>
        <w:t>Attention:  Kim Watson</w:t>
      </w:r>
    </w:p>
    <w:p>
      <w:pPr>
        <w:pStyle w:val="Normal"/>
        <w:jc w:val="both"/>
        <w:rPr>
          <w:sz w:val="22"/>
        </w:rPr>
      </w:pPr>
      <w:r>
        <w:rPr>
          <w:sz w:val="22"/>
        </w:rPr>
      </w:r>
    </w:p>
    <w:p>
      <w:pPr>
        <w:pStyle w:val="Normal"/>
        <w:ind w:hanging="720" w:start="720" w:end="0"/>
        <w:jc w:val="both"/>
        <w:rPr>
          <w:sz w:val="22"/>
        </w:rPr>
      </w:pPr>
      <w:r>
        <w:rPr>
          <w:sz w:val="22"/>
        </w:rPr>
        <w:t>Re:</w:t>
        <w:tab/>
        <w:t>Letter of Intent for the Joint Development of a Natural Gas Pipeline</w:t>
      </w:r>
    </w:p>
    <w:p>
      <w:pPr>
        <w:pStyle w:val="Normal"/>
        <w:ind w:start="720" w:end="0"/>
        <w:jc w:val="both"/>
        <w:rPr>
          <w:sz w:val="22"/>
        </w:rPr>
      </w:pPr>
      <w:r>
        <w:rPr>
          <w:sz w:val="22"/>
        </w:rPr>
        <w:t>(The “TransPecos Project”)</w:t>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sz w:val="22"/>
        </w:rPr>
      </w:pPr>
      <w:r>
        <w:rPr>
          <w:sz w:val="22"/>
        </w:rPr>
        <w:t>This Letter of Intent (“LOI”) sets forth certain terms and conditions for the joint development, construction and operation by Kinder Morgan, Inc. (“KMI”) and Enron Transportation Services Company (“Enron”) of an interstate natural gas pipeline proposed for West Texas (the “TransPecos Project”).  For convenience, KMI and Enron may each be referred to as “Participant” and collectively as the “Participants.”</w:t>
      </w:r>
    </w:p>
    <w:p>
      <w:pPr>
        <w:pStyle w:val="Normal"/>
        <w:jc w:val="both"/>
        <w:rPr>
          <w:sz w:val="22"/>
        </w:rPr>
      </w:pPr>
      <w:r>
        <w:rPr>
          <w:sz w:val="22"/>
        </w:rPr>
      </w:r>
    </w:p>
    <w:p>
      <w:pPr>
        <w:pStyle w:val="Normal"/>
        <w:jc w:val="both"/>
        <w:rPr>
          <w:sz w:val="22"/>
        </w:rPr>
      </w:pPr>
      <w:r>
        <w:rPr>
          <w:sz w:val="22"/>
        </w:rPr>
        <w:t xml:space="preserve">The TransPecos Project involves the construction and operation of 1) approximately 190 miles of 24” diameter pipeline originating in Ward County, Texas and terminating in Hudspeth County, Texas, 2) gas-fired compression facilities located along the pipeline route, and 3) associated meter and tap facilities.  Collectively these facilities shall be referred to as the “TransPecos Facilities”.  The TransPecos Project will originate at interconnections with the interstate natural gas pipeline systems of Natural Gas Pipeline Company of America (“NGPL”), Transwestern Pipeline Company (“TW”) and Northern Natural Gas Company (“NNG”) and extend westward to interconnections in Hudspeth County, Texas with El Paso Natural Gas Company (“EPNG”) near its Hueco Turbine Station and the Samalayuca Pipeline, a jointly owned pipeline of Pemex Gas y Petroquímica Básica (“Pemex”) and EPNG.  The TransPecos Project is to be used to transport natural gas in interstate and international commerce to serve natural gas markets in Mexico and in the general area of the TransPecos Project. </w:t>
      </w:r>
    </w:p>
    <w:p>
      <w:pPr>
        <w:pStyle w:val="Normal"/>
        <w:jc w:val="both"/>
        <w:rPr>
          <w:sz w:val="22"/>
        </w:rPr>
      </w:pPr>
      <w:r>
        <w:rPr>
          <w:sz w:val="22"/>
        </w:rPr>
        <w:tab/>
      </w:r>
    </w:p>
    <w:p>
      <w:pPr>
        <w:pStyle w:val="Normal"/>
        <w:jc w:val="both"/>
        <w:rPr>
          <w:sz w:val="22"/>
        </w:rPr>
      </w:pPr>
      <w:r>
        <w:rPr>
          <w:sz w:val="22"/>
        </w:rPr>
        <w:t xml:space="preserve">The following sets forth the obligations of KMI and Enron with respect to the engineering, development, financing, construction and operation of the TransPecos Project: </w:t>
      </w:r>
    </w:p>
    <w:p>
      <w:pPr>
        <w:pStyle w:val="Normal"/>
        <w:jc w:val="both"/>
        <w:rPr>
          <w:sz w:val="22"/>
        </w:rPr>
      </w:pPr>
      <w:r>
        <w:rPr>
          <w:sz w:val="22"/>
        </w:rPr>
      </w:r>
    </w:p>
    <w:p>
      <w:pPr>
        <w:pStyle w:val="Normal"/>
        <w:numPr>
          <w:ilvl w:val="0"/>
          <w:numId w:val="1"/>
        </w:numPr>
        <w:jc w:val="both"/>
        <w:rPr>
          <w:sz w:val="22"/>
        </w:rPr>
      </w:pPr>
      <w:r>
        <w:rPr>
          <w:sz w:val="22"/>
          <w:u w:val="single"/>
        </w:rPr>
        <w:t>TransPecos Project.</w:t>
      </w:r>
      <w:r>
        <w:rPr>
          <w:sz w:val="22"/>
        </w:rPr>
        <w:t xml:space="preserve">  Each Participant, or an affiliate of each Participant, will have an undivided 50% ownership interest in the TransPecos Project.</w:t>
      </w:r>
    </w:p>
    <w:p>
      <w:pPr>
        <w:pStyle w:val="Normal"/>
        <w:ind w:start="720" w:end="0"/>
        <w:jc w:val="both"/>
        <w:rPr>
          <w:sz w:val="22"/>
        </w:rPr>
      </w:pPr>
      <w:r>
        <w:rPr>
          <w:sz w:val="22"/>
        </w:rPr>
      </w:r>
    </w:p>
    <w:p>
      <w:pPr>
        <w:pStyle w:val="Normal"/>
        <w:numPr>
          <w:ilvl w:val="0"/>
          <w:numId w:val="1"/>
        </w:numPr>
        <w:jc w:val="both"/>
        <w:rPr>
          <w:sz w:val="22"/>
        </w:rPr>
      </w:pPr>
      <w:r>
        <w:rPr>
          <w:sz w:val="22"/>
          <w:u w:val="single"/>
        </w:rPr>
        <w:t>TransPecos Project Development Responsibilities</w:t>
      </w:r>
      <w:r>
        <w:rPr>
          <w:sz w:val="22"/>
        </w:rPr>
        <w:t xml:space="preserve">.  Enron, or its affiliate, shall have the responsibility for the preliminary engineering and design along with cost estimates for right-of-way acquisition, determination of environmental requirements, and other preliminary project development matters required to prepare a Letter of Intent between the Participants and Pemex as described below.  </w:t>
      </w:r>
    </w:p>
    <w:p>
      <w:pPr>
        <w:pStyle w:val="Normal"/>
        <w:jc w:val="both"/>
        <w:rPr>
          <w:sz w:val="22"/>
        </w:rPr>
      </w:pPr>
      <w:r>
        <w:rPr>
          <w:sz w:val="22"/>
        </w:rPr>
      </w:r>
    </w:p>
    <w:p>
      <w:pPr>
        <w:pStyle w:val="Normal"/>
        <w:numPr>
          <w:ilvl w:val="0"/>
          <w:numId w:val="1"/>
        </w:numPr>
        <w:jc w:val="both"/>
        <w:rPr>
          <w:sz w:val="22"/>
        </w:rPr>
      </w:pPr>
      <w:r>
        <w:rPr>
          <w:sz w:val="22"/>
          <w:u w:val="single"/>
        </w:rPr>
        <w:t>Participants’ Letter of Intent with Pemex</w:t>
      </w:r>
      <w:r>
        <w:rPr>
          <w:sz w:val="22"/>
        </w:rPr>
        <w:t xml:space="preserve">.  On or before July 6, 2001, Enron and KMI shall prepare and submit a Letter of Intent for execution by Pemex and approval by its Board of Directors.  The purpose of Participants’ Letter of Intent with Pemex will be to set forth the terms and conditions under which the Participants would provide Pemex firm gas transportation services along the TransPecos Facilities and to secure a commitment from Pemex of sufficient quality to proceed with the engineering, development, financing, construction and operation of the TransPecos Project.  The Participants’ Letter of Intent with Pemex shall, among other things, be subject to: a) the receipt of certificate authority from the FERC to build, own and operate the TransPecos Project, b) project financing under terms acceptable to both Participants and c) execution of binding Definitive Project Agreements as described below.  </w:t>
      </w:r>
    </w:p>
    <w:p>
      <w:pPr>
        <w:pStyle w:val="Normal"/>
        <w:jc w:val="both"/>
        <w:rPr>
          <w:sz w:val="22"/>
        </w:rPr>
      </w:pPr>
      <w:r>
        <w:rPr>
          <w:sz w:val="22"/>
        </w:rPr>
      </w:r>
    </w:p>
    <w:p>
      <w:pPr>
        <w:pStyle w:val="Normal"/>
        <w:numPr>
          <w:ilvl w:val="0"/>
          <w:numId w:val="1"/>
        </w:numPr>
        <w:jc w:val="both"/>
        <w:rPr>
          <w:sz w:val="22"/>
        </w:rPr>
      </w:pPr>
      <w:r>
        <w:rPr>
          <w:sz w:val="22"/>
          <w:u w:val="single"/>
        </w:rPr>
        <w:t>Final Engineering, Development and Construction</w:t>
      </w:r>
      <w:r>
        <w:rPr>
          <w:sz w:val="22"/>
        </w:rPr>
        <w:t>.  On or before August 15, 2001, the Participants shall select the Participant to have the responsibility for final project engineering and construction (the ”Construction Participant.”)  The Construction Participant shall have responsibility for all engineering, design, cost estimates, right-of-way acquisition, satisfaction of environmental requirements, and other miscellaneous project development and construction responsibilities, including, but not limited to, preparation of all FERC filings and pleadings, legal notices to federal, state and local agencies, and all U.S. Department of Transportation and other compliance and reporting requirements.</w:t>
      </w:r>
    </w:p>
    <w:p>
      <w:pPr>
        <w:pStyle w:val="Normal"/>
        <w:jc w:val="both"/>
        <w:rPr>
          <w:sz w:val="22"/>
          <w:u w:val="single"/>
        </w:rPr>
      </w:pPr>
      <w:r>
        <w:rPr>
          <w:sz w:val="22"/>
          <w:u w:val="single"/>
        </w:rPr>
      </w:r>
    </w:p>
    <w:p>
      <w:pPr>
        <w:pStyle w:val="Normal"/>
        <w:numPr>
          <w:ilvl w:val="0"/>
          <w:numId w:val="1"/>
        </w:numPr>
        <w:jc w:val="both"/>
        <w:rPr>
          <w:sz w:val="22"/>
        </w:rPr>
      </w:pPr>
      <w:r>
        <w:rPr>
          <w:sz w:val="22"/>
          <w:u w:val="single"/>
        </w:rPr>
        <w:t>Definitive Project Agreements</w:t>
      </w:r>
      <w:r>
        <w:rPr>
          <w:sz w:val="22"/>
        </w:rPr>
        <w:t>.  Following full acceptance and execution by Pemex of the Participants’ Letter of Intent with Pemex, the Participants agree to negotiate in good faith with the purpose of executing no later than August 30, 2001, the Definitive Project Agreements necessary and desirable to incorporate the rights and obligations of the parties under this Letter of Intent and to complete the engineering, development, financing and construction of the TransPecos Project.  Definitive Project Agreements shall include, but shall not be limited to, a TransPecos Joint Development Agreement, which may include the development of a limited liability company.  It is contemplated that the Definitive Project Agreements shall also provide for the creation of a TransPecos Management Committee or similar entity to be responsible for the daily management of operations, services and contracts of the TransPecos Project.</w:t>
      </w:r>
    </w:p>
    <w:p>
      <w:pPr>
        <w:pStyle w:val="Normal"/>
        <w:jc w:val="both"/>
        <w:rPr>
          <w:sz w:val="22"/>
          <w:u w:val="single"/>
        </w:rPr>
      </w:pPr>
      <w:r>
        <w:rPr>
          <w:sz w:val="22"/>
          <w:u w:val="single"/>
        </w:rPr>
      </w:r>
    </w:p>
    <w:p>
      <w:pPr>
        <w:pStyle w:val="Normal"/>
        <w:numPr>
          <w:ilvl w:val="0"/>
          <w:numId w:val="1"/>
        </w:numPr>
        <w:jc w:val="both"/>
        <w:rPr>
          <w:sz w:val="22"/>
        </w:rPr>
      </w:pPr>
      <w:r>
        <w:rPr>
          <w:sz w:val="22"/>
          <w:u w:val="single"/>
        </w:rPr>
        <w:t>TransPecos Operations</w:t>
      </w:r>
      <w:r>
        <w:rPr>
          <w:sz w:val="22"/>
        </w:rPr>
        <w:t>.  Enron, KMI, or any of their respective affiliates, shall each submit competitive bids to the TransPecos Management Committee to determine the entity to provide a) contract physical operations and maintenance of the pipeline facilities and b) contract business operations of the TransPecos Project, including, but not limited to, gas control, accounting, marketing, legal and regulatory support.  The purpose of the competitive bid process will be to determine which of the Participant entities can most economically and efficiently provide contract operations services.</w:t>
      </w:r>
    </w:p>
    <w:p>
      <w:pPr>
        <w:pStyle w:val="Normal"/>
        <w:jc w:val="both"/>
        <w:rPr>
          <w:sz w:val="22"/>
          <w:u w:val="single"/>
        </w:rPr>
      </w:pPr>
      <w:r>
        <w:rPr>
          <w:sz w:val="22"/>
          <w:u w:val="single"/>
        </w:rPr>
      </w:r>
    </w:p>
    <w:p>
      <w:pPr>
        <w:pStyle w:val="Normal"/>
        <w:numPr>
          <w:ilvl w:val="0"/>
          <w:numId w:val="1"/>
        </w:numPr>
        <w:jc w:val="both"/>
        <w:rPr>
          <w:sz w:val="22"/>
        </w:rPr>
      </w:pPr>
      <w:r>
        <w:rPr>
          <w:sz w:val="22"/>
          <w:u w:val="single"/>
        </w:rPr>
        <w:t>Conduct of TransPecos Project Responsibilities</w:t>
      </w:r>
      <w:r>
        <w:rPr>
          <w:sz w:val="22"/>
        </w:rPr>
        <w:t>.  Each Participant agrees to perform its responsibilities under this Letter of Intent and to cooperate with the other Participant in the performance of its responsibilities.  Each Participant agrees to keep the other Participant advised of the current status of the performance of its responsibilities.</w:t>
      </w:r>
    </w:p>
    <w:p>
      <w:pPr>
        <w:pStyle w:val="Normal"/>
        <w:jc w:val="both"/>
        <w:rPr>
          <w:sz w:val="22"/>
          <w:u w:val="single"/>
        </w:rPr>
      </w:pPr>
      <w:r>
        <w:rPr>
          <w:sz w:val="22"/>
          <w:u w:val="single"/>
        </w:rPr>
      </w:r>
    </w:p>
    <w:p>
      <w:pPr>
        <w:pStyle w:val="Normal"/>
        <w:numPr>
          <w:ilvl w:val="0"/>
          <w:numId w:val="1"/>
        </w:numPr>
        <w:jc w:val="both"/>
        <w:rPr>
          <w:sz w:val="22"/>
        </w:rPr>
      </w:pPr>
      <w:r>
        <w:rPr>
          <w:sz w:val="22"/>
          <w:u w:val="single"/>
        </w:rPr>
        <w:t>Preliminary Costs</w:t>
      </w:r>
      <w:r>
        <w:rPr>
          <w:sz w:val="22"/>
        </w:rPr>
        <w:t>.  The Participants agree that from the date hereof until the execution of the Definitive Project Agreements for the engineering, development, financing, construction, and operation of the TransPecos Project, KMI and Enron shall bear their own internal costs and shall bear equally all third party costs, expenses, and fees incurred in the performance of their responsibilities as provided in this Letter of Intent. The participants shall agree upon the expenditure of any costs for third party services and shall document all costs, expenses and fees incurred. The Participants agree that prior to the execution of Definitive Project Agreements no funds in excess of $38,000.00 for third party services shall be expended on the TransPecos Project.</w:t>
      </w:r>
    </w:p>
    <w:p>
      <w:pPr>
        <w:pStyle w:val="Normal"/>
        <w:jc w:val="both"/>
        <w:rPr>
          <w:sz w:val="22"/>
        </w:rPr>
      </w:pPr>
      <w:r>
        <w:rPr>
          <w:sz w:val="22"/>
        </w:rPr>
      </w:r>
    </w:p>
    <w:p>
      <w:pPr>
        <w:pStyle w:val="Normal"/>
        <w:jc w:val="both"/>
        <w:rPr>
          <w:sz w:val="22"/>
        </w:rPr>
      </w:pPr>
      <w:r>
        <w:rPr>
          <w:sz w:val="22"/>
        </w:rPr>
        <w:t xml:space="preserve"> </w:t>
      </w:r>
    </w:p>
    <w:p>
      <w:pPr>
        <w:pStyle w:val="Normal"/>
        <w:numPr>
          <w:ilvl w:val="0"/>
          <w:numId w:val="1"/>
        </w:numPr>
        <w:jc w:val="both"/>
        <w:rPr>
          <w:sz w:val="22"/>
        </w:rPr>
      </w:pPr>
      <w:r>
        <w:rPr>
          <w:sz w:val="22"/>
          <w:u w:val="single"/>
        </w:rPr>
        <w:t>Access to Data</w:t>
      </w:r>
      <w:r>
        <w:rPr>
          <w:sz w:val="22"/>
        </w:rPr>
        <w:t>.  Each Participant shall have access to all data, reports, and information resulting from the performance by the Participants of their responsibilities under this Letter of Intent.  Each Participant shall have an undivided ownership interest in all such data, reports, and information.</w:t>
      </w:r>
    </w:p>
    <w:p>
      <w:pPr>
        <w:pStyle w:val="Normal"/>
        <w:jc w:val="both"/>
        <w:rPr>
          <w:sz w:val="22"/>
          <w:u w:val="single"/>
        </w:rPr>
      </w:pPr>
      <w:r>
        <w:rPr>
          <w:sz w:val="22"/>
          <w:u w:val="single"/>
        </w:rPr>
      </w:r>
    </w:p>
    <w:p>
      <w:pPr>
        <w:pStyle w:val="Normal"/>
        <w:numPr>
          <w:ilvl w:val="0"/>
          <w:numId w:val="1"/>
        </w:numPr>
        <w:jc w:val="both"/>
        <w:rPr>
          <w:sz w:val="22"/>
        </w:rPr>
      </w:pPr>
      <w:r>
        <w:rPr>
          <w:sz w:val="22"/>
          <w:u w:val="single"/>
        </w:rPr>
        <w:t>Exclusivity</w:t>
      </w:r>
      <w:r>
        <w:rPr>
          <w:sz w:val="22"/>
        </w:rPr>
        <w:t>. During the term of this Letter of Intent, each Participant agrees not to directly or indirectly solicit, initiate, undertake, or encourage inquiries, proposals, or offers for any project which involves the construction of a natural gas pipeline that would compete with the TransPecos Project or its services.</w:t>
      </w:r>
    </w:p>
    <w:p>
      <w:pPr>
        <w:pStyle w:val="Normal"/>
        <w:jc w:val="both"/>
        <w:rPr>
          <w:sz w:val="22"/>
          <w:u w:val="single"/>
        </w:rPr>
      </w:pPr>
      <w:r>
        <w:rPr>
          <w:sz w:val="22"/>
          <w:u w:val="single"/>
        </w:rPr>
      </w:r>
    </w:p>
    <w:p>
      <w:pPr>
        <w:pStyle w:val="Normal"/>
        <w:numPr>
          <w:ilvl w:val="0"/>
          <w:numId w:val="1"/>
        </w:numPr>
        <w:jc w:val="both"/>
        <w:rPr>
          <w:sz w:val="22"/>
        </w:rPr>
      </w:pPr>
      <w:r>
        <w:rPr>
          <w:sz w:val="22"/>
          <w:u w:val="single"/>
        </w:rPr>
        <w:t>Public Announcements</w:t>
      </w:r>
      <w:r>
        <w:rPr>
          <w:sz w:val="22"/>
        </w:rPr>
        <w:t>.  During the term of this Letter of Intent, neither Participant shall issue any press release or make any public announcement regarding the TransPecos Project without the consent of the other Participant.</w:t>
      </w:r>
    </w:p>
    <w:p>
      <w:pPr>
        <w:pStyle w:val="Normal"/>
        <w:jc w:val="both"/>
        <w:rPr>
          <w:sz w:val="22"/>
          <w:u w:val="single"/>
        </w:rPr>
      </w:pPr>
      <w:r>
        <w:rPr>
          <w:sz w:val="22"/>
          <w:u w:val="single"/>
        </w:rPr>
      </w:r>
    </w:p>
    <w:p>
      <w:pPr>
        <w:pStyle w:val="Normal"/>
        <w:numPr>
          <w:ilvl w:val="0"/>
          <w:numId w:val="1"/>
        </w:numPr>
        <w:jc w:val="both"/>
        <w:rPr>
          <w:sz w:val="22"/>
        </w:rPr>
      </w:pPr>
      <w:r>
        <w:rPr>
          <w:sz w:val="22"/>
          <w:u w:val="single"/>
        </w:rPr>
        <w:t>Assignment</w:t>
      </w:r>
      <w:r>
        <w:rPr>
          <w:sz w:val="22"/>
        </w:rPr>
        <w:t>.  This Letter of Intent and the rights and obligations hereunder are not assignable by either Participant without the prior written consent of the other Participant, which may be withheld by such other Participant in its sole discretion; provided, either Participant may assign this Letter of Intent and its rights and obligations hereunder to any affiliate which in the case of KMI shall include Kinder Morgan Energy Partners L.P. (“KMP”) or an operating limited partnership owned or controlled by KMP without the consent of the other Participant.</w:t>
      </w:r>
    </w:p>
    <w:p>
      <w:pPr>
        <w:pStyle w:val="Normal"/>
        <w:jc w:val="both"/>
        <w:rPr>
          <w:sz w:val="22"/>
          <w:u w:val="single"/>
        </w:rPr>
      </w:pPr>
      <w:r>
        <w:rPr>
          <w:sz w:val="22"/>
          <w:u w:val="single"/>
        </w:rPr>
      </w:r>
    </w:p>
    <w:p>
      <w:pPr>
        <w:pStyle w:val="Normal"/>
        <w:numPr>
          <w:ilvl w:val="0"/>
          <w:numId w:val="1"/>
        </w:numPr>
        <w:jc w:val="both"/>
        <w:rPr>
          <w:sz w:val="22"/>
        </w:rPr>
      </w:pPr>
      <w:r>
        <w:rPr>
          <w:sz w:val="22"/>
          <w:u w:val="single"/>
        </w:rPr>
        <w:t>Entire Agreement</w:t>
      </w:r>
      <w:r>
        <w:rPr>
          <w:sz w:val="22"/>
        </w:rPr>
        <w:t>.  This Letter of Intent represents the entire agreement of the Participants with respect to the matters set forth herein.</w:t>
      </w:r>
    </w:p>
    <w:p>
      <w:pPr>
        <w:pStyle w:val="Normal"/>
        <w:jc w:val="both"/>
        <w:rPr>
          <w:sz w:val="22"/>
          <w:u w:val="single"/>
        </w:rPr>
      </w:pPr>
      <w:r>
        <w:rPr>
          <w:sz w:val="22"/>
          <w:u w:val="single"/>
        </w:rPr>
      </w:r>
    </w:p>
    <w:p>
      <w:pPr>
        <w:pStyle w:val="Normal"/>
        <w:numPr>
          <w:ilvl w:val="0"/>
          <w:numId w:val="1"/>
        </w:numPr>
        <w:jc w:val="both"/>
        <w:rPr>
          <w:sz w:val="22"/>
        </w:rPr>
      </w:pPr>
      <w:r>
        <w:rPr>
          <w:sz w:val="22"/>
          <w:u w:val="single"/>
        </w:rPr>
        <w:t>Term</w:t>
      </w:r>
      <w:r>
        <w:rPr>
          <w:sz w:val="22"/>
        </w:rPr>
        <w:t>.  This LOI shall terminate upon the occurrence of the execution of the Definitive Project Agreements or on December 1, 2001, whichever is the earlier. In the event the Participants fail to execute Definitive Project Agreements on or before December 1, 2001, the TransPecos shall be abandoned and each Participant shall be entitled to copies of all work produced by the Participants.</w:t>
      </w:r>
    </w:p>
    <w:p>
      <w:pPr>
        <w:pStyle w:val="Normal"/>
        <w:jc w:val="both"/>
        <w:rPr>
          <w:sz w:val="22"/>
        </w:rPr>
      </w:pPr>
      <w:r>
        <w:rPr>
          <w:sz w:val="22"/>
        </w:rPr>
      </w:r>
    </w:p>
    <w:p>
      <w:pPr>
        <w:pStyle w:val="Normal"/>
        <w:jc w:val="both"/>
        <w:rPr>
          <w:sz w:val="22"/>
        </w:rPr>
      </w:pPr>
      <w:r>
        <w:rPr>
          <w:sz w:val="22"/>
        </w:rPr>
        <w:t>If the foregoing correctly reflects the agreement of KMI and Enron with respect to the TransPecos Project, please so indicate by having a duly authorized representative execute in the space provided below.</w:t>
      </w:r>
    </w:p>
    <w:p>
      <w:pPr>
        <w:pStyle w:val="Normal"/>
        <w:jc w:val="both"/>
        <w:rPr>
          <w:sz w:val="22"/>
        </w:rPr>
      </w:pPr>
      <w:r>
        <w:rPr>
          <w:sz w:val="22"/>
        </w:rPr>
      </w:r>
    </w:p>
    <w:p>
      <w:pPr>
        <w:pStyle w:val="Normal"/>
        <w:ind w:start="4320" w:end="0"/>
        <w:jc w:val="both"/>
        <w:rPr>
          <w:sz w:val="22"/>
        </w:rPr>
      </w:pPr>
      <w:r>
        <w:rPr>
          <w:sz w:val="22"/>
        </w:rPr>
        <w:t xml:space="preserve">  </w:t>
      </w:r>
      <w:r>
        <w:rPr>
          <w:sz w:val="22"/>
        </w:rPr>
        <w:t>KINDER MORGAN, INC.</w:t>
      </w:r>
    </w:p>
    <w:p>
      <w:pPr>
        <w:pStyle w:val="Normal"/>
        <w:ind w:start="4320" w:end="0"/>
        <w:jc w:val="both"/>
        <w:rPr>
          <w:sz w:val="22"/>
        </w:rPr>
      </w:pPr>
      <w:r>
        <w:rPr>
          <w:sz w:val="22"/>
        </w:rPr>
        <w:t xml:space="preserve">           </w:t>
      </w:r>
      <w:r>
        <w:rPr>
          <w:sz w:val="22"/>
        </w:rPr>
        <w:t>(“PARTICIPANT”)</w:t>
      </w:r>
    </w:p>
    <w:p>
      <w:pPr>
        <w:pStyle w:val="Normal"/>
        <w:ind w:start="4320" w:end="0"/>
        <w:jc w:val="both"/>
        <w:rPr>
          <w:sz w:val="22"/>
        </w:rPr>
      </w:pPr>
      <w:r>
        <w:rPr>
          <w:sz w:val="22"/>
        </w:rPr>
        <w:t xml:space="preserve">   </w:t>
      </w:r>
      <w:r>
        <w:rPr>
          <w:sz w:val="22"/>
        </w:rPr>
        <w:t>TRANSPECOS PROJECT</w:t>
      </w:r>
    </w:p>
    <w:p>
      <w:pPr>
        <w:pStyle w:val="Normal"/>
        <w:ind w:start="4320" w:end="0"/>
        <w:jc w:val="both"/>
        <w:rPr>
          <w:sz w:val="22"/>
        </w:rPr>
      </w:pPr>
      <w:r>
        <w:rPr>
          <w:sz w:val="22"/>
        </w:rPr>
      </w:r>
    </w:p>
    <w:p>
      <w:pPr>
        <w:pStyle w:val="Normal"/>
        <w:ind w:start="4320" w:end="0"/>
        <w:jc w:val="both"/>
        <w:rPr>
          <w:sz w:val="22"/>
        </w:rPr>
      </w:pPr>
      <w:r>
        <w:rPr>
          <w:sz w:val="22"/>
        </w:rPr>
        <w:tab/>
        <w:tab/>
        <w:tab/>
        <w:tab/>
        <w:tab/>
        <w:tab/>
      </w:r>
    </w:p>
    <w:p>
      <w:pPr>
        <w:pStyle w:val="Normal"/>
        <w:ind w:start="4320" w:end="0"/>
        <w:jc w:val="both"/>
        <w:rPr>
          <w:sz w:val="22"/>
        </w:rPr>
      </w:pPr>
      <w:r>
        <w:rPr>
          <w:sz w:val="22"/>
        </w:rPr>
        <w:t>By:   __________________________</w:t>
      </w:r>
    </w:p>
    <w:p>
      <w:pPr>
        <w:pStyle w:val="Normal"/>
        <w:ind w:start="4320" w:end="0"/>
        <w:jc w:val="both"/>
        <w:rPr>
          <w:sz w:val="22"/>
        </w:rPr>
      </w:pPr>
      <w:r>
        <w:rPr>
          <w:sz w:val="22"/>
        </w:rPr>
      </w:r>
    </w:p>
    <w:p>
      <w:pPr>
        <w:pStyle w:val="Normal"/>
        <w:ind w:start="4320" w:end="0"/>
        <w:jc w:val="both"/>
        <w:rPr>
          <w:sz w:val="22"/>
        </w:rPr>
      </w:pPr>
      <w:r>
        <w:rPr>
          <w:sz w:val="22"/>
        </w:rPr>
        <w:t>Title: _________________________</w:t>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jc w:val="both"/>
        <w:rPr>
          <w:sz w:val="22"/>
        </w:rPr>
      </w:pPr>
      <w:r>
        <w:rPr>
          <w:sz w:val="22"/>
        </w:rPr>
        <w:t>Agreed to this  ____ day of __________, 2001</w:t>
      </w:r>
    </w:p>
    <w:p>
      <w:pPr>
        <w:pStyle w:val="Normal"/>
        <w:jc w:val="both"/>
        <w:rPr>
          <w:sz w:val="22"/>
        </w:rPr>
      </w:pPr>
      <w:r>
        <w:rPr>
          <w:sz w:val="22"/>
        </w:rPr>
      </w:r>
    </w:p>
    <w:p>
      <w:pPr>
        <w:pStyle w:val="Normal"/>
        <w:jc w:val="both"/>
        <w:rPr>
          <w:sz w:val="22"/>
        </w:rPr>
      </w:pPr>
      <w:r>
        <w:rPr>
          <w:sz w:val="22"/>
        </w:rPr>
        <w:t>ENRON TRANSPORTATION SERVICES COMPANY</w:t>
      </w:r>
    </w:p>
    <w:p>
      <w:pPr>
        <w:pStyle w:val="Normal"/>
        <w:jc w:val="both"/>
        <w:rPr>
          <w:sz w:val="22"/>
        </w:rPr>
      </w:pPr>
      <w:r>
        <w:rPr>
          <w:sz w:val="22"/>
        </w:rPr>
        <w:t xml:space="preserve">                      </w:t>
      </w:r>
      <w:r>
        <w:rPr>
          <w:sz w:val="22"/>
        </w:rPr>
        <w:t>(“PARTICIPANT”)</w:t>
      </w:r>
    </w:p>
    <w:p>
      <w:pPr>
        <w:pStyle w:val="Normal"/>
        <w:jc w:val="both"/>
        <w:rPr>
          <w:sz w:val="22"/>
        </w:rPr>
      </w:pPr>
      <w:r>
        <w:rPr>
          <w:sz w:val="22"/>
        </w:rPr>
        <w:t xml:space="preserve">   </w:t>
      </w:r>
      <w:r>
        <w:rPr>
          <w:sz w:val="22"/>
        </w:rPr>
        <w:tab/>
        <w:t>TRANSPECOS PROJECT</w:t>
      </w:r>
    </w:p>
    <w:p>
      <w:pPr>
        <w:pStyle w:val="Normal"/>
        <w:ind w:start="720" w:end="0"/>
        <w:jc w:val="both"/>
        <w:rPr>
          <w:sz w:val="22"/>
        </w:rPr>
      </w:pPr>
      <w:r>
        <w:rPr>
          <w:sz w:val="22"/>
        </w:rPr>
      </w:r>
    </w:p>
    <w:p>
      <w:pPr>
        <w:pStyle w:val="Normal"/>
        <w:jc w:val="both"/>
        <w:rPr>
          <w:sz w:val="22"/>
        </w:rPr>
      </w:pPr>
      <w:r>
        <w:rPr>
          <w:sz w:val="22"/>
        </w:rPr>
        <w:t>By:   _________________________                 Title: ________________________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2001-10-19T11:09:00Z</dcterms:created>
  <dc:creator>jfawcet</dc:creator>
  <dc:description/>
  <dc:language>en-CA</dc:language>
  <cp:lastModifiedBy>ushorxc</cp:lastModifiedBy>
  <cp:lastPrinted>2001-10-19T08:35:00Z</cp:lastPrinted>
  <dcterms:modified xsi:type="dcterms:W3CDTF">2001-10-19T11:09:00Z</dcterms:modified>
  <cp:revision>2</cp:revision>
  <dc:subject/>
  <dc:title>June 8, 2001</dc:title>
</cp:coreProperties>
</file>