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079" w:dyaOrig="104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0.45pt;height:64.75pt" filled="f" o:ole="">
            <v:imagedata r:id="rId3" o:title=""/>
          </v:shape>
          <o:OLEObject Type="Embed" ProgID="" ShapeID="ole_rId2" DrawAspect="Content" ObjectID="_1230373653" r:id="rId2"/>
        </w:object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TRANSMISSION ROUNDTABLE MEETING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Friday, December 8, 2000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Attendees: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Vasant Shanbhogue, Research VP; Fred Mitro, Power Development; Martin Lin, Research Manager; Sevil Yaman, Sr. Research Specialist, Robin Kittel, Governmental Affairs; Lloyd Will, Director Trading; Debbie Chance, Director Power Development; Bill Rust, Manager Trading; Pat Hanse, Sr. Specialist Trading/MAPP/ECAR; Steve O’Linde, Trading Floor QSE/REP; Ron Tapscott, Power Development; Tom Dutta, Manager Trading; Vince Kaminski, Managing Director Research; Lance Cunningham, Manager Research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Discussion Items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Auctions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FTR (Lack of Secondary Market)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Some discussion of liability of selling developed generation sites for transmission (threshold for small units)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3"/>
        </w:numPr>
        <w:rPr>
          <w:rFonts w:ascii="Arial" w:hAnsi="Arial" w:cs="Arial"/>
        </w:rPr>
      </w:pPr>
      <w:r>
        <w:rPr>
          <w:rFonts w:cs="Arial" w:ascii="Arial" w:hAnsi="Arial"/>
        </w:rPr>
        <w:t>Fred Mitro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Discussions about Construction </w:t>
      </w:r>
      <w:r>
        <w:rPr>
          <w:rFonts w:cs="Arial" w:ascii="Arial" w:hAnsi="Arial"/>
          <w:shd w:fill="FFFFFF" w:val="clear"/>
        </w:rPr>
        <w:t>Que</w:t>
      </w:r>
      <w:r>
        <w:rPr>
          <w:rFonts w:cs="Arial" w:ascii="Arial" w:hAnsi="Arial"/>
        </w:rPr>
        <w:t xml:space="preserve"> around U.S.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ATC studies for siting but not locking up physical rights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Interconnect Studies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Build a Site Bank (35 sites around Eastern Interconnect)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Value for Enron -  strategic or sell to other developers (quantify the Market to Market value)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Establish a Construction Que process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Reservations</w:t>
      </w:r>
    </w:p>
    <w:p>
      <w:pPr>
        <w:pStyle w:val="Normal"/>
        <w:numPr>
          <w:ilvl w:val="0"/>
          <w:numId w:val="2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Scarcity of “easy” sites in prime locations are gone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Air quality, Transmission upgrades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Need understanding of Regulatory guidelines (From National to Local Utility Rules)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Strategies for laying off risk of selling site, auctions, sell transmission credits to others</w:t>
      </w:r>
    </w:p>
    <w:p>
      <w:pPr>
        <w:pStyle w:val="Normal"/>
        <w:numPr>
          <w:ilvl w:val="0"/>
          <w:numId w:val="12"/>
        </w:numPr>
        <w:shd w:fill="FFFFFF" w:val="clear"/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Spill over benefits to other parties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Quarterly benefits to upgrade, risk mitigation</w:t>
      </w:r>
      <w:r>
        <w:rPr>
          <w:rFonts w:cs="Arial" w:ascii="Arial" w:hAnsi="Arial"/>
          <w:shd w:fill="FFFF00" w:val="clear"/>
        </w:rPr>
        <w:t xml:space="preserve"> 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FF" w:val="clear"/>
        </w:rPr>
        <w:t>Example:  We spend dollars in</w:t>
      </w:r>
      <w:r>
        <w:rPr>
          <w:rFonts w:cs="Arial" w:ascii="Arial" w:hAnsi="Arial"/>
        </w:rPr>
        <w:t xml:space="preserve"> ComEd and give benefits to Wisconsin then talk</w:t>
      </w:r>
      <w:r>
        <w:rPr>
          <w:rFonts w:cs="Arial" w:ascii="Arial" w:hAnsi="Arial"/>
          <w:shd w:fill="FFFF00" w:val="clear"/>
        </w:rPr>
        <w:t xml:space="preserve"> </w:t>
      </w:r>
      <w:r>
        <w:rPr>
          <w:rFonts w:cs="Arial" w:ascii="Arial" w:hAnsi="Arial"/>
        </w:rPr>
        <w:t>commercially with Wisconsin</w:t>
        <w:tab/>
      </w:r>
    </w:p>
    <w:p>
      <w:pPr>
        <w:pStyle w:val="Normal"/>
        <w:ind w:start="360" w:end="0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00" w:val="clear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Discussion Items (Continued)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2"/>
        </w:numPr>
        <w:rPr>
          <w:rFonts w:ascii="Arial" w:hAnsi="Arial" w:cs="Arial"/>
        </w:rPr>
      </w:pPr>
      <w:r>
        <w:rPr>
          <w:rFonts w:cs="Arial" w:ascii="Arial" w:hAnsi="Arial"/>
        </w:rPr>
        <w:t>Bill Rust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Risk of interconnection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Future liability problems with Southern to TVA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Entergy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Caledonia Plant – ATC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Robin Kittel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Special Protection Schemes</w:t>
      </w:r>
    </w:p>
    <w:p>
      <w:pPr>
        <w:pStyle w:val="Normal"/>
        <w:numPr>
          <w:ilvl w:val="0"/>
          <w:numId w:val="13"/>
        </w:numPr>
        <w:shd w:fill="FFFFFF" w:val="clear"/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 xml:space="preserve">ERCOT to maximize use of transmission </w:t>
      </w:r>
      <w:r>
        <w:rPr>
          <w:rFonts w:cs="Arial" w:ascii="Arial" w:hAnsi="Arial"/>
          <w:shd w:fill="FFFFFF" w:val="clear"/>
        </w:rPr>
        <w:t>but protect against N-1 contingency (Discussions of  RTO vs Local Utility Planning)</w:t>
      </w:r>
    </w:p>
    <w:p>
      <w:pPr>
        <w:pStyle w:val="Normal"/>
        <w:shd w:fill="FFFFFF" w:val="clea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numPr>
          <w:ilvl w:val="0"/>
          <w:numId w:val="4"/>
        </w:numPr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  <w:t>Differences in Regional Planning Criteria</w:t>
      </w:r>
    </w:p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1"/>
        </w:numPr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  <w:t>Development Interconnection Database by Utility and Region to turn over to Regulatory</w:t>
      </w:r>
    </w:p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0"/>
        </w:numPr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  <w:t>Research Previous Projects</w:t>
      </w:r>
    </w:p>
    <w:p>
      <w:pPr>
        <w:pStyle w:val="Normal"/>
        <w:numPr>
          <w:ilvl w:val="0"/>
          <w:numId w:val="11"/>
        </w:numPr>
        <w:shd w:fill="FFFFFF" w:val="clear"/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Outage Insurance</w:t>
      </w:r>
    </w:p>
    <w:p>
      <w:pPr>
        <w:pStyle w:val="Normal"/>
        <w:numPr>
          <w:ilvl w:val="0"/>
          <w:numId w:val="11"/>
        </w:numPr>
        <w:shd w:fill="FFFFFF" w:val="clear"/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Financial</w:t>
      </w:r>
    </w:p>
    <w:p>
      <w:pPr>
        <w:pStyle w:val="Normal"/>
        <w:numPr>
          <w:ilvl w:val="0"/>
          <w:numId w:val="11"/>
        </w:numPr>
        <w:shd w:fill="FFFFFF" w:val="clear"/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Attaching gas plants to existing gas for changes in basis</w:t>
      </w:r>
    </w:p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4"/>
        </w:numPr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  <w:t>Ron Tapscott</w:t>
      </w:r>
    </w:p>
    <w:p>
      <w:pPr>
        <w:pStyle w:val="Normal"/>
        <w:numPr>
          <w:ilvl w:val="0"/>
          <w:numId w:val="26"/>
        </w:numPr>
        <w:shd w:fill="FFFFFF" w:val="clear"/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RFP’s (generation, load, transmission) Database</w:t>
      </w:r>
    </w:p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fill="FFFFFF" w:val="clea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152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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erdana" w:hAnsi="Verdana" w:eastAsia="Times New Roman" w:cs="Verdan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2001-01-23T12:39:00Z</dcterms:created>
  <dc:creator>adupont</dc:creator>
  <dc:description/>
  <dc:language>en-CA</dc:language>
  <cp:lastModifiedBy>adupont</cp:lastModifiedBy>
  <cp:lastPrinted>2001-01-23T09:03:00Z</cp:lastPrinted>
  <dcterms:modified xsi:type="dcterms:W3CDTF">2001-01-23T12:39:00Z</dcterms:modified>
  <cp:revision>2</cp:revision>
  <dc:subject/>
  <dc:title> </dc:title>
</cp:coreProperties>
</file>