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rFonts w:ascii="Arial" w:hAnsi="Arial" w:cs="Arial"/>
          <w:sz w:val="24"/>
        </w:rPr>
      </w:pPr>
      <w:r>
        <w:rPr>
          <w:rFonts w:cs="Arial" w:ascii="Arial" w:hAnsi="Arial"/>
          <w:sz w:val="24"/>
        </w:rPr>
        <w:t>BEFORE THE</w:t>
      </w:r>
    </w:p>
    <w:p>
      <w:pPr>
        <w:pStyle w:val="Normal"/>
        <w:jc w:val="center"/>
        <w:rPr>
          <w:rFonts w:ascii="Arial" w:hAnsi="Arial" w:cs="Arial"/>
          <w:sz w:val="24"/>
        </w:rPr>
      </w:pPr>
      <w:r>
        <w:rPr>
          <w:rFonts w:cs="Arial" w:ascii="Arial" w:hAnsi="Arial"/>
          <w:sz w:val="24"/>
        </w:rPr>
        <w:t>FEDERAL ENERGY REGULATORY COMMISSION</w:t>
      </w:r>
    </w:p>
    <w:p>
      <w:pPr>
        <w:pStyle w:val="Normal"/>
        <w:jc w:val="center"/>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________________________________</w:t>
      </w:r>
    </w:p>
    <w:p>
      <w:pPr>
        <w:pStyle w:val="Normal"/>
        <w:rPr>
          <w:rFonts w:ascii="Arial" w:hAnsi="Arial" w:cs="Arial"/>
          <w:sz w:val="24"/>
        </w:rPr>
      </w:pPr>
      <w:r>
        <w:rPr>
          <w:rFonts w:cs="Arial" w:ascii="Arial" w:hAnsi="Arial"/>
          <w:sz w:val="24"/>
        </w:rPr>
        <w:tab/>
        <w:tab/>
        <w:tab/>
        <w:tab/>
        <w:tab/>
        <w:tab/>
        <w:tab/>
        <w:t xml:space="preserve">) </w:t>
      </w:r>
    </w:p>
    <w:p>
      <w:pPr>
        <w:pStyle w:val="Heading1"/>
        <w:ind w:hanging="0" w:start="0"/>
        <w:jc w:val="start"/>
        <w:rPr>
          <w:b w:val="false"/>
          <w:u w:val="none"/>
        </w:rPr>
      </w:pPr>
      <w:r>
        <w:rPr>
          <w:b w:val="false"/>
          <w:u w:val="none"/>
        </w:rPr>
        <w:tab/>
        <w:tab/>
        <w:tab/>
        <w:tab/>
        <w:tab/>
        <w:tab/>
        <w:tab/>
        <w:t>)</w:t>
      </w:r>
    </w:p>
    <w:p>
      <w:pPr>
        <w:pStyle w:val="Heading1"/>
        <w:ind w:hanging="0" w:start="0"/>
        <w:jc w:val="start"/>
        <w:rPr/>
      </w:pPr>
      <w:r>
        <w:rPr>
          <w:b w:val="false"/>
          <w:u w:val="none"/>
        </w:rPr>
        <w:t xml:space="preserve">Alliant Energy Services, Inc. </w:t>
      </w:r>
      <w:r>
        <w:rPr>
          <w:b w:val="false"/>
          <w:i/>
          <w:u w:val="none"/>
        </w:rPr>
        <w:t>et al.</w:t>
        <w:tab/>
        <w:tab/>
      </w:r>
      <w:r>
        <w:rPr>
          <w:b w:val="false"/>
          <w:u w:val="none"/>
        </w:rPr>
        <w:tab/>
        <w:t>)</w:t>
        <w:tab/>
        <w:t>Docket Nos. ER01-3154-000</w:t>
      </w:r>
    </w:p>
    <w:p>
      <w:pPr>
        <w:pStyle w:val="Normal"/>
        <w:rPr>
          <w:rFonts w:ascii="Arial" w:hAnsi="Arial" w:cs="Arial"/>
          <w:sz w:val="24"/>
        </w:rPr>
      </w:pPr>
      <w:r>
        <w:rPr>
          <w:rFonts w:cs="Arial" w:ascii="Arial" w:hAnsi="Arial"/>
          <w:sz w:val="24"/>
        </w:rPr>
        <w:tab/>
        <w:tab/>
        <w:tab/>
        <w:tab/>
        <w:tab/>
        <w:tab/>
        <w:tab/>
        <w:t>)</w:t>
        <w:tab/>
        <w:tab/>
        <w:t xml:space="preserve">     and EC01-156-000</w:t>
      </w:r>
    </w:p>
    <w:p>
      <w:pPr>
        <w:pStyle w:val="BodyText2"/>
        <w:spacing w:lineRule="auto" w:line="240"/>
        <w:rPr>
          <w:rFonts w:ascii="Times New Roman" w:hAnsi="Times New Roman" w:cs="Times New Roman"/>
        </w:rPr>
      </w:pPr>
      <w:r>
        <w:rPr>
          <w:rFonts w:cs="Times New Roman" w:ascii="Times New Roman" w:hAnsi="Times New Roman"/>
        </w:rPr>
        <w:t>____________________________________            )</w:t>
      </w:r>
    </w:p>
    <w:p>
      <w:pPr>
        <w:pStyle w:val="Heading1"/>
        <w:ind w:hanging="0" w:start="0"/>
        <w:jc w:val="start"/>
        <w:rPr>
          <w:rFonts w:ascii="Times New Roman" w:hAnsi="Times New Roman" w:cs="Times New Roman"/>
          <w:caps/>
        </w:rPr>
      </w:pPr>
      <w:r>
        <w:rPr>
          <w:rFonts w:cs="Times New Roman" w:ascii="Times New Roman" w:hAnsi="Times New Roman"/>
          <w:caps/>
        </w:rPr>
      </w:r>
    </w:p>
    <w:p>
      <w:pPr>
        <w:pStyle w:val="Normal"/>
        <w:jc w:val="center"/>
        <w:rPr>
          <w:rFonts w:ascii="Arial" w:hAnsi="Arial" w:cs="Arial"/>
          <w:caps/>
          <w:sz w:val="24"/>
          <w:u w:val="single"/>
        </w:rPr>
      </w:pPr>
      <w:r>
        <w:rPr>
          <w:rFonts w:cs="Arial" w:ascii="Arial" w:hAnsi="Arial"/>
          <w:caps/>
          <w:sz w:val="24"/>
          <w:u w:val="single"/>
        </w:rPr>
      </w:r>
    </w:p>
    <w:p>
      <w:pPr>
        <w:pStyle w:val="Heading1"/>
        <w:ind w:hanging="0" w:start="0"/>
        <w:rPr>
          <w:caps/>
        </w:rPr>
      </w:pPr>
      <w:r>
        <w:rPr>
          <w:caps/>
          <w:u w:val="none"/>
        </w:rPr>
        <w:t xml:space="preserve">MOTION for LEAVE TO INTERVENE AND COMMENTS </w:t>
        <w:br/>
        <w:t>of the electric power supply association</w:t>
      </w:r>
    </w:p>
    <w:p>
      <w:pPr>
        <w:pStyle w:val="Normal"/>
        <w:jc w:val="center"/>
        <w:rPr>
          <w:rFonts w:ascii="Arial" w:hAnsi="Arial" w:cs="Arial"/>
          <w:caps/>
          <w:sz w:val="24"/>
          <w:u w:val="single"/>
        </w:rPr>
      </w:pPr>
      <w:r>
        <w:rPr>
          <w:rFonts w:cs="Arial" w:ascii="Arial" w:hAnsi="Arial"/>
          <w:caps/>
          <w:sz w:val="24"/>
          <w:u w:val="single"/>
        </w:rPr>
      </w:r>
    </w:p>
    <w:p>
      <w:pPr>
        <w:pStyle w:val="BodyTextStyle"/>
        <w:ind w:firstLine="720" w:end="0"/>
        <w:rPr/>
      </w:pPr>
      <w:r>
        <w:rPr>
          <w:rFonts w:cs="Arial" w:ascii="Arial" w:hAnsi="Arial"/>
        </w:rPr>
        <w:t xml:space="preserve">Pursuant to Rules 214 and 212 of the Rules of Practice and Procedure of the Federal Energy Regulatory Commission (FERC or Commission), 18 C.F.R. §§ 214 and 212, the Electric Power Supply Association (EPSA) hereby moves for leave to intervene and comments </w:t>
      </w:r>
      <w:r>
        <mc:AlternateContent>
          <mc:Choice Requires="wps">
            <w:drawing>
              <wp:anchor behindDoc="0" distT="0" distB="0" distL="114935" distR="114935" simplePos="0" locked="0" layoutInCell="1" allowOverlap="1" relativeHeight="13">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Arial" w:ascii="Arial" w:hAnsi="Arial"/>
        </w:rPr>
        <w:t xml:space="preserve">in the above-captioned proceeding. </w:t>
      </w:r>
    </w:p>
    <w:p>
      <w:pPr>
        <w:pStyle w:val="BodyTextStyle"/>
        <w:spacing w:lineRule="auto" w:line="240"/>
        <w:ind w:firstLine="720" w:end="0"/>
        <w:rPr>
          <w:rFonts w:ascii="Arial" w:hAnsi="Arial" w:cs="Arial"/>
        </w:rPr>
      </w:pPr>
      <w:r>
        <w:rPr>
          <w:rFonts w:cs="Arial" w:ascii="Arial" w:hAnsi="Arial"/>
        </w:rPr>
      </w:r>
    </w:p>
    <w:p>
      <w:pPr>
        <w:pStyle w:val="BodyTextStyle"/>
        <w:ind w:hanging="0" w:end="0"/>
        <w:jc w:val="center"/>
        <w:rPr>
          <w:rFonts w:ascii="Arial" w:hAnsi="Arial" w:cs="Arial"/>
          <w:b/>
        </w:rPr>
      </w:pPr>
      <w:r>
        <w:rPr>
          <w:rFonts w:cs="Arial" w:ascii="Arial" w:hAnsi="Arial"/>
          <w:b/>
        </w:rPr>
        <w:t>I.</w:t>
      </w:r>
    </w:p>
    <w:p>
      <w:pPr>
        <w:pStyle w:val="BodyTextStyle"/>
        <w:spacing w:lineRule="auto" w:line="240"/>
        <w:ind w:hanging="0" w:end="0"/>
        <w:rPr>
          <w:rFonts w:ascii="Arial" w:hAnsi="Arial" w:cs="Arial"/>
          <w:b/>
        </w:rPr>
      </w:pPr>
      <w:r>
        <w:rPr>
          <w:rFonts w:cs="Arial" w:ascii="Arial" w:hAnsi="Arial"/>
          <w:b/>
        </w:rPr>
      </w:r>
    </w:p>
    <w:p>
      <w:pPr>
        <w:pStyle w:val="BodyTextStyle"/>
        <w:spacing w:lineRule="auto" w:line="480"/>
        <w:rPr/>
      </w:pPr>
      <w:r>
        <w:rPr>
          <w:rFonts w:cs="Arial" w:ascii="Arial" w:hAnsi="Arial"/>
        </w:rPr>
        <w:t>Pursuant to Sections 203 and 205 of the Federal Power Act, the TRANSLink Participants</w:t>
      </w:r>
      <w:r>
        <w:rPr>
          <w:rStyle w:val="FootnoteCharacters"/>
          <w:rStyle w:val="FootnoteReference"/>
          <w:rFonts w:cs="Arial" w:ascii="Arial" w:hAnsi="Arial"/>
        </w:rPr>
        <w:footnoteReference w:id="2"/>
      </w:r>
      <w:r>
        <w:rPr>
          <w:rFonts w:cs="Arial" w:ascii="Arial" w:hAnsi="Arial"/>
        </w:rPr>
        <w:t xml:space="preserve"> filed a proposal to form an independent transmission company (ITC), TRANSLink Transmission Company LLC (TRANSLink), that will function as an ITC through which parties committing transmission assets may participate in one or more regional transmission organizations (RTOs).  By a Notice issued October 5, 2001, the Commission set October 29, 2001 as the deadline for timely interventions and protests.  However, as requested by the Iowa Association of Municipal Utilities on October 16, 2001, the Commission, in a Notice of Extension of Time dated October 24, 2001, set November 28, 2001 as the deadline for timely interventions and protests in this proceeding.</w:t>
      </w:r>
    </w:p>
    <w:p>
      <w:pPr>
        <w:pStyle w:val="BodyTextStyle"/>
        <w:spacing w:lineRule="auto" w:line="480"/>
        <w:ind w:firstLine="720" w:end="0"/>
        <w:rPr/>
      </w:pPr>
      <w:r>
        <w:rPr>
          <w:rFonts w:cs="Arial" w:ascii="Arial" w:hAnsi="Arial"/>
        </w:rPr>
        <w:t>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w:t>
      </w:r>
      <w:r>
        <w:rPr>
          <w:rStyle w:val="FootnoteCharacters"/>
          <w:rStyle w:val="FootnoteReference"/>
          <w:rFonts w:cs="Arial" w:ascii="Arial" w:hAnsi="Arial"/>
        </w:rPr>
        <w:footnoteReference w:id="3"/>
      </w:r>
      <w:r>
        <w:rPr>
          <w:rFonts w:cs="Arial" w:ascii="Arial" w:hAnsi="Arial"/>
        </w:rPr>
        <w:t xml:space="preserve">  </w:t>
      </w:r>
    </w:p>
    <w:p>
      <w:pPr>
        <w:pStyle w:val="BodyTextStyle"/>
        <w:spacing w:lineRule="auto" w:line="480"/>
        <w:ind w:firstLine="720" w:end="0"/>
        <w:rPr>
          <w:rFonts w:ascii="Arial" w:hAnsi="Arial" w:cs="Arial"/>
        </w:rPr>
      </w:pPr>
      <w:r>
        <w:rPr>
          <w:rFonts w:cs="Arial" w:ascii="Arial" w:hAnsi="Arial"/>
        </w:rPr>
        <w:t xml:space="preserve">Certain EPSA members presently participate in the TRANSLink markets, or are in the process of developing new generating projects in the TRANSLink service area.  EPSA is interested in protecting the rights of these power suppliers to equal access to TRANSLink transmission facilities, as well as fair and nondiscriminatory pricing for these transmission services.  Furthermore, many EPSA members are Participants in various RTO markets in which the ITC proposes to participate, including the service areas of the Midwest Independent System Operator (MISO), the Southwest Power Pool (SPP), WestConnect RTO (WestConnect) and the Alliance RTO (ARTO).   Accordingly, EPSA has a direct and substantial interest in the outcome of the instant proceedings, which cannot adequately be represented by any other party.  </w:t>
      </w:r>
    </w:p>
    <w:p>
      <w:pPr>
        <w:pStyle w:val="BodyTextStyle"/>
        <w:spacing w:lineRule="auto" w:line="480"/>
        <w:ind w:firstLine="720" w:end="0"/>
        <w:rPr>
          <w:rFonts w:ascii="Arial" w:hAnsi="Arial" w:cs="Arial"/>
        </w:rPr>
      </w:pPr>
      <w:r>
        <w:rPr>
          <w:rFonts w:cs="Arial" w:ascii="Arial" w:hAnsi="Arial"/>
        </w:rPr>
      </w:r>
    </w:p>
    <w:p>
      <w:pPr>
        <w:pStyle w:val="BodyTextStyle"/>
        <w:spacing w:lineRule="auto" w:line="480"/>
        <w:ind w:firstLine="720" w:end="0"/>
        <w:rPr>
          <w:rFonts w:ascii="Arial" w:hAnsi="Arial" w:cs="Arial"/>
        </w:rPr>
      </w:pPr>
      <w:r>
        <w:rPr>
          <w:rFonts w:cs="Arial" w:ascii="Arial" w:hAnsi="Arial"/>
        </w:rPr>
      </w:r>
    </w:p>
    <w:p>
      <w:pPr>
        <w:pStyle w:val="BodyTextStyle"/>
        <w:spacing w:lineRule="auto" w:line="480"/>
        <w:ind w:hanging="0" w:end="0"/>
        <w:jc w:val="center"/>
        <w:rPr>
          <w:rFonts w:ascii="Arial" w:hAnsi="Arial" w:cs="Arial"/>
          <w:b/>
        </w:rPr>
      </w:pPr>
      <w:r>
        <w:rPr>
          <w:rFonts w:cs="Arial" w:ascii="Arial" w:hAnsi="Arial"/>
          <w:b/>
        </w:rPr>
        <w:t>II.</w:t>
      </w:r>
    </w:p>
    <w:p>
      <w:pPr>
        <w:pStyle w:val="BodyTextStyle"/>
        <w:spacing w:lineRule="auto" w:line="480"/>
        <w:rPr>
          <w:rFonts w:ascii="Arial" w:hAnsi="Arial" w:cs="Arial"/>
        </w:rPr>
      </w:pPr>
      <w:r>
        <w:rPr>
          <w:rFonts w:cs="Arial" w:ascii="Arial" w:hAnsi="Arial"/>
        </w:rPr>
        <w:t>All pleadings, correspondence and other communications concerning the docket should be directed to:</w:t>
      </w:r>
    </w:p>
    <w:p>
      <w:pPr>
        <w:pStyle w:val="Heading2"/>
        <w:ind w:start="720" w:end="0"/>
        <w:rPr>
          <w:rFonts w:ascii="Arial" w:hAnsi="Arial" w:cs="Arial"/>
        </w:rPr>
      </w:pPr>
      <w:r>
        <w:rPr>
          <w:rFonts w:cs="Arial"/>
        </w:rPr>
      </w:r>
    </w:p>
    <w:p>
      <w:pPr>
        <w:pStyle w:val="Heading2"/>
        <w:ind w:start="720" w:end="0"/>
        <w:rPr/>
      </w:pPr>
      <w:r>
        <w:rPr/>
        <w:t>Erin Perrigo, Manager of Policy</w:t>
        <w:tab/>
        <w:tab/>
      </w:r>
    </w:p>
    <w:p>
      <w:pPr>
        <w:pStyle w:val="Heading3"/>
        <w:ind w:hanging="0" w:start="0"/>
        <w:rPr/>
      </w:pPr>
      <w:r>
        <w:rPr/>
        <w:tab/>
        <w:t>Electric Power Supply Association</w:t>
        <w:tab/>
        <w:tab/>
      </w:r>
    </w:p>
    <w:p>
      <w:pPr>
        <w:pStyle w:val="Normal"/>
        <w:ind w:firstLine="720" w:end="-630"/>
        <w:rPr/>
      </w:pPr>
      <w:r>
        <w:rPr>
          <w:rFonts w:cs="Arial" w:ascii="Arial" w:hAnsi="Arial"/>
          <w:sz w:val="24"/>
        </w:rPr>
        <w:t>1401 New York Ave., N.W., 11</w:t>
      </w:r>
      <w:r>
        <w:rPr>
          <w:rFonts w:cs="Arial" w:ascii="Arial" w:hAnsi="Arial"/>
          <w:sz w:val="24"/>
          <w:vertAlign w:val="superscript"/>
        </w:rPr>
        <w:t>th</w:t>
      </w:r>
      <w:r>
        <w:rPr>
          <w:rFonts w:cs="Arial" w:ascii="Arial" w:hAnsi="Arial"/>
          <w:sz w:val="24"/>
        </w:rPr>
        <w:t xml:space="preserve"> Floor</w:t>
        <w:tab/>
        <w:tab/>
      </w:r>
    </w:p>
    <w:p>
      <w:pPr>
        <w:pStyle w:val="Normal"/>
        <w:rPr>
          <w:rFonts w:ascii="Arial" w:hAnsi="Arial" w:cs="Arial"/>
          <w:sz w:val="24"/>
        </w:rPr>
      </w:pPr>
      <w:r>
        <w:rPr>
          <w:rFonts w:cs="Arial" w:ascii="Arial" w:hAnsi="Arial"/>
          <w:sz w:val="24"/>
        </w:rPr>
        <w:tab/>
        <w:t>Washington, D.C. 20005</w:t>
        <w:tab/>
        <w:tab/>
        <w:tab/>
        <w:tab/>
      </w:r>
    </w:p>
    <w:p>
      <w:pPr>
        <w:pStyle w:val="Normal"/>
        <w:ind w:firstLine="720" w:end="0"/>
        <w:rPr>
          <w:rFonts w:ascii="Arial" w:hAnsi="Arial" w:cs="Arial"/>
          <w:sz w:val="24"/>
        </w:rPr>
      </w:pPr>
      <w:r>
        <w:rPr>
          <w:rFonts w:cs="Arial" w:ascii="Arial" w:hAnsi="Arial"/>
          <w:sz w:val="24"/>
        </w:rPr>
        <w:t>Tel:</w:t>
        <w:tab/>
        <w:t>202-628-8200</w:t>
        <w:tab/>
        <w:tab/>
        <w:tab/>
      </w:r>
    </w:p>
    <w:p>
      <w:pPr>
        <w:pStyle w:val="BodyTextStyle"/>
        <w:spacing w:lineRule="auto" w:line="240"/>
        <w:ind w:firstLine="720" w:end="0"/>
        <w:rPr>
          <w:rFonts w:ascii="Arial" w:hAnsi="Arial" w:cs="Arial"/>
        </w:rPr>
      </w:pPr>
      <w:r>
        <w:rPr>
          <w:rFonts w:cs="Arial" w:ascii="Arial" w:hAnsi="Arial"/>
        </w:rPr>
        <w:t>Fax:</w:t>
        <w:tab/>
        <w:t>202-628-8260</w:t>
      </w:r>
    </w:p>
    <w:p>
      <w:pPr>
        <w:pStyle w:val="BodyTextStyle"/>
        <w:spacing w:lineRule="auto" w:line="240"/>
        <w:ind w:firstLine="720" w:end="0"/>
        <w:rPr>
          <w:rFonts w:ascii="Arial" w:hAnsi="Arial" w:cs="Arial"/>
        </w:rPr>
      </w:pPr>
      <w:r>
        <w:rPr>
          <w:rFonts w:cs="Arial" w:ascii="Arial" w:hAnsi="Arial"/>
        </w:rPr>
      </w:r>
    </w:p>
    <w:p>
      <w:pPr>
        <w:pStyle w:val="BodyTextStyle"/>
        <w:spacing w:lineRule="auto" w:line="240"/>
        <w:ind w:firstLine="720" w:end="0"/>
        <w:rPr>
          <w:rFonts w:ascii="Arial" w:hAnsi="Arial" w:cs="Arial"/>
        </w:rPr>
      </w:pPr>
      <w:r>
        <w:rPr>
          <w:rFonts w:cs="Arial" w:ascii="Arial" w:hAnsi="Arial"/>
        </w:rPr>
      </w:r>
    </w:p>
    <w:p>
      <w:pPr>
        <w:pStyle w:val="BodyTextStyle"/>
        <w:spacing w:lineRule="auto" w:line="240"/>
        <w:ind w:firstLine="720" w:end="0"/>
        <w:rPr>
          <w:rFonts w:ascii="Arial" w:hAnsi="Arial" w:cs="Arial"/>
        </w:rPr>
      </w:pPr>
      <w:r>
        <w:rPr>
          <w:rFonts w:cs="Arial" w:ascii="Arial" w:hAnsi="Arial"/>
        </w:rPr>
      </w:r>
    </w:p>
    <w:p>
      <w:pPr>
        <w:pStyle w:val="BodyTextStyle"/>
        <w:spacing w:lineRule="auto" w:line="480"/>
        <w:ind w:hanging="0" w:end="0"/>
        <w:jc w:val="center"/>
        <w:rPr>
          <w:rFonts w:ascii="Arial" w:hAnsi="Arial" w:cs="Arial"/>
          <w:b/>
        </w:rPr>
      </w:pPr>
      <w:r>
        <w:rPr>
          <w:rFonts w:cs="Arial" w:ascii="Arial" w:hAnsi="Arial"/>
          <w:b/>
        </w:rPr>
        <w:t>III.</w:t>
      </w:r>
    </w:p>
    <w:p>
      <w:pPr>
        <w:pStyle w:val="BodyTextStyle"/>
        <w:spacing w:lineRule="auto" w:line="480"/>
        <w:ind w:firstLine="720" w:end="0"/>
        <w:rPr/>
      </w:pPr>
      <w:r>
        <w:rPr>
          <w:rFonts w:cs="Arial" w:ascii="Arial" w:hAnsi="Arial"/>
        </w:rPr>
        <w:t xml:space="preserve">In this proceeding, the TRANSLink Participants propose to create an ITC that will carry out certain transmission-related functions in cooperation with the MISO.  Centered on the guidance provided in </w:t>
      </w:r>
      <w:r>
        <w:rPr>
          <w:rFonts w:cs="Arial" w:ascii="Arial" w:hAnsi="Arial"/>
          <w:i/>
        </w:rPr>
        <w:t>Commonwealth Edison Co.</w:t>
      </w:r>
      <w:r>
        <w:rPr>
          <w:rFonts w:cs="Arial" w:ascii="Arial" w:hAnsi="Arial"/>
        </w:rPr>
        <w:t>, where the Commission approved the proposed hybrid or “binary” RTO model, the TRANSLink Participants ask the Commission to find that their proposal meets the minimum requirements of Order No. 2000.</w:t>
      </w:r>
      <w:r>
        <w:rPr>
          <w:rStyle w:val="FootnoteCharacters"/>
          <w:rStyle w:val="FootnoteReference"/>
          <w:rFonts w:cs="Arial" w:ascii="Arial" w:hAnsi="Arial"/>
        </w:rPr>
        <w:footnoteReference w:id="4"/>
      </w:r>
      <w:r>
        <w:rPr>
          <w:rFonts w:cs="Arial" w:ascii="Arial" w:hAnsi="Arial"/>
        </w:rPr>
        <w:t xml:space="preserve">  The TRANSLink Participants have established the fourth quarter of 2002 as the targeted date to commence commercial operations, assuming receipt of the required regulatory approvals, and ask the Commission for expeditious consideration of the filing.</w:t>
      </w:r>
    </w:p>
    <w:p>
      <w:pPr>
        <w:pStyle w:val="BodyTextStyle"/>
        <w:spacing w:lineRule="auto" w:line="480"/>
        <w:ind w:firstLine="720" w:end="0"/>
        <w:rPr>
          <w:rFonts w:ascii="Arial" w:hAnsi="Arial" w:cs="Arial"/>
        </w:rPr>
      </w:pPr>
      <w:r>
        <w:rPr>
          <w:rFonts w:cs="Arial" w:ascii="Arial" w:hAnsi="Arial"/>
        </w:rPr>
        <w:t xml:space="preserve">As filed, the TRANSLink Participants propose to contract with one or more Commission-approved RTOs to perform certain RTO-required functions, recognizing that the Commission requires TRANSLink to demonstrate that it possesses certain characteristics of an RTO, even though it does not propose to establish TRANSLink as an RTO.  </w:t>
      </w:r>
    </w:p>
    <w:p>
      <w:pPr>
        <w:pStyle w:val="BodyTextStyle"/>
        <w:spacing w:lineRule="auto" w:line="480"/>
        <w:ind w:firstLine="720" w:end="0"/>
        <w:rPr/>
      </w:pPr>
      <w:r>
        <w:rPr>
          <w:rFonts w:cs="Arial" w:ascii="Arial" w:hAnsi="Arial"/>
        </w:rPr>
        <w:t>The Commission recently announced its intention to proceed with RTO development along two parallel tracks, with RTO geographic scope and governance issues addressed in pending “RT” dockets, leaving generator interconnection and market design matters for resolution in the Commission’s forthcoming rulemaking proceedings.</w:t>
      </w:r>
      <w:r>
        <w:rPr>
          <w:rStyle w:val="FootnoteCharacters"/>
          <w:rStyle w:val="FootnoteReference"/>
          <w:rFonts w:cs="Arial" w:ascii="Arial" w:hAnsi="Arial"/>
        </w:rPr>
        <w:footnoteReference w:id="5"/>
      </w:r>
      <w:r>
        <w:rPr>
          <w:rFonts w:cs="Arial" w:ascii="Arial" w:hAnsi="Arial"/>
        </w:rPr>
        <w:t xml:space="preserve">  Accordingly, EPSA focuses on independence and governance issues in this Protest.  While recognizing that the Commission may elect to defer market design matters for later consideration, EPSA will provide comments on certain troubling aspects of the TRANSLink proposal. </w:t>
      </w:r>
    </w:p>
    <w:p>
      <w:pPr>
        <w:pStyle w:val="BodyTextStyle"/>
        <w:spacing w:lineRule="auto" w:line="480"/>
        <w:ind w:firstLine="720" w:end="0"/>
        <w:rPr>
          <w:rFonts w:ascii="Arial" w:hAnsi="Arial" w:cs="Arial"/>
          <w:caps/>
        </w:rPr>
      </w:pPr>
      <w:r>
        <w:rPr>
          <w:rFonts w:cs="Arial" w:ascii="Arial" w:hAnsi="Arial"/>
          <w:b/>
          <w:caps/>
        </w:rPr>
        <w:t>Independence</w:t>
        <w:tab/>
      </w:r>
    </w:p>
    <w:p>
      <w:pPr>
        <w:pStyle w:val="BodyTextStyle"/>
        <w:spacing w:lineRule="auto" w:line="480"/>
        <w:ind w:firstLine="720" w:end="0"/>
        <w:rPr/>
      </w:pPr>
      <w:r>
        <w:rPr>
          <w:rFonts w:cs="Arial" w:ascii="Arial" w:hAnsi="Arial"/>
        </w:rPr>
        <w:t>Order No. 2000 states that “a[n] RTO needs to be independent in both reality and perception”…and that such entity must be independent of  “[a market participant] whose economic or commercial interests are likely to be affected by an RTO’s decisions and actions.”</w:t>
      </w:r>
      <w:r>
        <w:rPr>
          <w:rStyle w:val="FootnoteCharacters"/>
          <w:rStyle w:val="FootnoteReference"/>
          <w:rFonts w:cs="Arial" w:ascii="Arial" w:hAnsi="Arial"/>
        </w:rPr>
        <w:footnoteReference w:id="6"/>
      </w:r>
      <w:r>
        <w:rPr>
          <w:rFonts w:cs="Arial" w:ascii="Arial" w:hAnsi="Arial"/>
        </w:rPr>
        <w:t xml:space="preserve">  In this proceeding, the TRANSLink proposal fails to meet the Commission’s independence requirements and fails to demonstrate that it will ensure equal and nondiscriminatory treatment of all users of the grid on an equal basis.</w:t>
      </w:r>
    </w:p>
    <w:p>
      <w:pPr>
        <w:pStyle w:val="BodyTextStyle"/>
        <w:spacing w:lineRule="auto" w:line="480"/>
        <w:ind w:firstLine="720" w:end="0"/>
        <w:rPr/>
      </w:pPr>
      <w:r>
        <w:rPr>
          <w:rFonts w:cs="Arial" w:ascii="Arial" w:hAnsi="Arial"/>
        </w:rPr>
        <w:t>As proposed, TRANSLink, a limited liability company (LLC), will have one managing member and one or more non-managing members.</w:t>
      </w:r>
      <w:r>
        <w:rPr>
          <w:rStyle w:val="FootnoteCharacters"/>
          <w:rStyle w:val="FootnoteReference"/>
          <w:rFonts w:cs="Arial" w:ascii="Arial" w:hAnsi="Arial"/>
        </w:rPr>
        <w:footnoteReference w:id="7"/>
      </w:r>
      <w:r>
        <w:rPr>
          <w:rFonts w:cs="Arial" w:ascii="Arial" w:hAnsi="Arial"/>
        </w:rPr>
        <w:t xml:space="preserve">  The managing member, TRANSLink Corporate Manager, will be governed by a Board of Directors elected by its shareholders and will direct all managerial aspects of the LLC.  Indeed, it is the very composition of Corporate Manager’s Board of Directors that initially compromises TRANSLink’s independence.  The nine member board is to be initially seated with seven members who will be selected independently of any market participant – the remaining two will be selected by the public power and private power transmission owning entities, respectively.  Although the Commission does not mandate detailed governance requirement for RTO boards, it does note that, </w:t>
      </w:r>
    </w:p>
    <w:p>
      <w:pPr>
        <w:pStyle w:val="BodyTextStyle"/>
        <w:spacing w:lineRule="auto" w:line="240"/>
        <w:ind w:hanging="0" w:start="720" w:end="0"/>
        <w:rPr>
          <w:rFonts w:ascii="Arial" w:hAnsi="Arial" w:cs="Arial"/>
        </w:rPr>
      </w:pPr>
      <w:r>
        <w:rPr>
          <w:rFonts w:cs="Arial" w:ascii="Arial" w:hAnsi="Arial"/>
        </w:rPr>
        <w:t xml:space="preserve">any RTO governance proposals, whether from an ISO, transco or a hybrid arrangement, will be judged on a case-by-case basis against the overarching standard that its decision-making process must be independent of individual market participants and classes or market participants. </w:t>
      </w:r>
    </w:p>
    <w:p>
      <w:pPr>
        <w:pStyle w:val="BodyTextStyle"/>
        <w:spacing w:lineRule="auto" w:line="480"/>
        <w:ind w:firstLine="720" w:end="0"/>
        <w:rPr>
          <w:rFonts w:ascii="Arial" w:hAnsi="Arial" w:cs="Arial"/>
        </w:rPr>
      </w:pPr>
      <w:r>
        <w:rPr>
          <w:rFonts w:cs="Arial" w:ascii="Arial" w:hAnsi="Arial"/>
        </w:rPr>
      </w:r>
    </w:p>
    <w:p>
      <w:pPr>
        <w:pStyle w:val="BodyTextStyle"/>
        <w:spacing w:lineRule="auto" w:line="480"/>
        <w:ind w:firstLine="720" w:end="0"/>
        <w:rPr>
          <w:rFonts w:ascii="Arial" w:hAnsi="Arial" w:cs="Arial"/>
        </w:rPr>
      </w:pPr>
      <w:r>
        <w:rPr>
          <w:rFonts w:cs="Arial" w:ascii="Arial" w:hAnsi="Arial"/>
        </w:rPr>
        <w:t>Although the TRANSLink does not purport to be an RTO, it must prove its independence to the Commission.  Blatantly favoring one group of market participants, in this case transmission owners, neither satisfies the reality or perception of independence for the ITC and blatantly compromises Order No. 2000, where the Commission stated that, “We believe that it would compromise an RTO’s independence if one or more transmission owners could influence the RTO’s decisions to the detriment of other market participants.”</w:t>
      </w:r>
      <w:r>
        <w:rPr>
          <w:rStyle w:val="FootnoteCharacters"/>
          <w:rStyle w:val="FootnoteReference"/>
          <w:rFonts w:cs="Arial" w:ascii="Arial" w:hAnsi="Arial"/>
        </w:rPr>
        <w:footnoteReference w:id="8"/>
      </w:r>
    </w:p>
    <w:p>
      <w:pPr>
        <w:pStyle w:val="BodyTextStyle"/>
        <w:spacing w:lineRule="auto" w:line="480"/>
        <w:ind w:firstLine="720" w:end="0"/>
        <w:rPr/>
      </w:pPr>
      <w:r>
        <w:rPr>
          <w:rFonts w:cs="Arial" w:ascii="Arial" w:hAnsi="Arial"/>
        </w:rPr>
        <w:t>The Commission goes on to state that it will have to examine the ownership interests of other proposals [</w:t>
      </w:r>
      <w:r>
        <w:rPr>
          <w:rFonts w:cs="Arial" w:ascii="Arial" w:hAnsi="Arial"/>
          <w:i/>
        </w:rPr>
        <w:t>i.e.,</w:t>
      </w:r>
      <w:r>
        <w:rPr>
          <w:rFonts w:cs="Arial" w:ascii="Arial" w:hAnsi="Arial"/>
        </w:rPr>
        <w:t xml:space="preserve"> transcos] and whether such proposals could affect the independence of the decision making process.</w:t>
      </w:r>
      <w:r>
        <w:rPr>
          <w:rStyle w:val="FootnoteCharacters"/>
          <w:rStyle w:val="FootnoteReference"/>
          <w:rFonts w:cs="Arial" w:ascii="Arial" w:hAnsi="Arial"/>
        </w:rPr>
        <w:footnoteReference w:id="9"/>
      </w:r>
      <w:r>
        <w:rPr>
          <w:rFonts w:cs="Arial" w:ascii="Arial" w:hAnsi="Arial"/>
        </w:rPr>
        <w:t xml:space="preserve">  Such has been the case in other regions of the Midwest—namely, the ARTO—where the incumbent transmission owners have unduly influenced the outcome of the so-called stakeholder process in ARTO development.  As in this case, the Private Power Participants and Public and Cooperative Power Participant groups, respectively, represent parties who are active market participants whose decisions will </w:t>
      </w:r>
      <w:r>
        <w:rPr>
          <w:rFonts w:cs="Arial" w:ascii="Arial" w:hAnsi="Arial"/>
          <w:i/>
        </w:rPr>
        <w:t>directly</w:t>
      </w:r>
      <w:r>
        <w:rPr>
          <w:rFonts w:cs="Arial" w:ascii="Arial" w:hAnsi="Arial"/>
        </w:rPr>
        <w:t xml:space="preserve"> affect the decision making process of the ITC.  TRANSLink should not be allowed to continually use the “special” interests of the public and private transmission owners to unduly slant the interests of the organization towards incumbent transmission owners.  </w:t>
      </w:r>
    </w:p>
    <w:p>
      <w:pPr>
        <w:pStyle w:val="BodyTextStyle"/>
        <w:spacing w:lineRule="auto" w:line="480"/>
        <w:ind w:firstLine="720" w:end="0"/>
        <w:rPr>
          <w:rFonts w:ascii="Arial" w:hAnsi="Arial" w:cs="Arial"/>
        </w:rPr>
      </w:pPr>
      <w:r>
        <w:rPr>
          <w:rFonts w:cs="Arial" w:ascii="Arial" w:hAnsi="Arial"/>
        </w:rPr>
        <w:t>The independence requirement is further compromised by the fact that the transmission owning entities are not required to physically divest their transmission assets, and instead are permitted to sign leases or operating agreements to transfer functional responsibility for their transmission assets to TRANSLink.  If anything, this process guarantees that TRANSLink will NOT be truly independent.  As such, the Commission must not accept leasing arrangements and operational contracts as sufficient assurance that the ITC satisfies the independence requirements.  In Order No. 2000, the Commission established three key elements to consider for passive ownership of RTO market participants.  The first entails a burden of proof on the RTO to demonstrate that “control of the RTO is truly independent and that the RTO has a decision making process that is independent of control by the passive owners.”  The second requires the RTO with passive ownership interests to construct a process for an “independent compliance audit to ensure the independence of its decision making process from the passive owners.”  By all accounts, it is unclear that TRANSLink proposes to safeguard against passive owner abuses.</w:t>
      </w:r>
    </w:p>
    <w:p>
      <w:pPr>
        <w:pStyle w:val="BodyTextStyle"/>
        <w:spacing w:lineRule="auto" w:line="480"/>
        <w:ind w:firstLine="720" w:end="0"/>
        <w:rPr>
          <w:rFonts w:ascii="Arial" w:hAnsi="Arial" w:cs="Arial"/>
        </w:rPr>
      </w:pPr>
      <w:r>
        <w:rPr>
          <w:rFonts w:cs="Arial" w:ascii="Arial" w:hAnsi="Arial"/>
        </w:rPr>
        <w:t>Therefore, the TRANSLink proposal fails the basic test – to be independent in both reality and perception – and only promises to play favorites and further distort the market segmentation in the Midwest region.  The Commission should require the TRANSLink participants to work with all stakeholders to develop an RTO operational and governance structure that is truly independent.</w:t>
      </w:r>
    </w:p>
    <w:p>
      <w:pPr>
        <w:pStyle w:val="BodyTextStyle"/>
        <w:spacing w:lineRule="auto" w:line="480"/>
        <w:ind w:firstLine="720" w:end="0"/>
        <w:rPr>
          <w:rFonts w:ascii="Arial" w:hAnsi="Arial" w:cs="Arial"/>
          <w:b/>
          <w:caps/>
        </w:rPr>
      </w:pPr>
      <w:r>
        <w:rPr>
          <w:rFonts w:cs="Arial" w:ascii="Arial" w:hAnsi="Arial"/>
          <w:b/>
          <w:caps/>
        </w:rPr>
        <w:t>Tariff Administration</w:t>
      </w:r>
    </w:p>
    <w:p>
      <w:pPr>
        <w:pStyle w:val="BodyTextStyle"/>
        <w:spacing w:lineRule="auto" w:line="480"/>
        <w:ind w:firstLine="720" w:end="0"/>
        <w:rPr/>
      </w:pPr>
      <w:r>
        <w:rPr>
          <w:rFonts w:cs="Arial" w:ascii="Arial" w:hAnsi="Arial"/>
        </w:rPr>
        <w:t>The Commission should not facilitate the further fragmentation and balkanization of the Midwest markets by allowing TRANSLink to offer its own open access transmission tariff, even though it is proposed to operate in seamless integration with the MISO Tariff.</w:t>
      </w:r>
      <w:r>
        <w:rPr>
          <w:rStyle w:val="FootnoteCharacters"/>
          <w:rStyle w:val="FootnoteReference"/>
          <w:rFonts w:cs="Arial" w:ascii="Arial" w:hAnsi="Arial"/>
        </w:rPr>
        <w:footnoteReference w:id="10"/>
      </w:r>
      <w:r>
        <w:rPr>
          <w:rFonts w:cs="Arial" w:ascii="Arial" w:hAnsi="Arial"/>
        </w:rPr>
        <w:t xml:space="preserve">  The proposal notes that,  “TRANSLink will have the exclusive authority to make filings under §205 of the FPA as needed, including proposals regarding performance-based or incentive rates.”</w:t>
      </w:r>
      <w:r>
        <w:rPr>
          <w:rStyle w:val="FootnoteCharacters"/>
          <w:rStyle w:val="FootnoteReference"/>
          <w:rFonts w:cs="Arial" w:ascii="Arial" w:hAnsi="Arial"/>
        </w:rPr>
        <w:footnoteReference w:id="11"/>
      </w:r>
      <w:r>
        <w:rPr>
          <w:rFonts w:cs="Arial" w:ascii="Arial" w:hAnsi="Arial"/>
        </w:rPr>
        <w:t xml:space="preserve">  </w:t>
      </w:r>
    </w:p>
    <w:p>
      <w:pPr>
        <w:pStyle w:val="BodyTextStyle"/>
        <w:spacing w:lineRule="auto" w:line="480"/>
        <w:ind w:firstLine="720" w:end="0"/>
        <w:rPr>
          <w:rFonts w:ascii="Arial" w:hAnsi="Arial" w:cs="Arial"/>
        </w:rPr>
      </w:pPr>
      <w:r>
        <w:rPr>
          <w:rFonts w:cs="Arial" w:ascii="Arial" w:hAnsi="Arial"/>
        </w:rPr>
        <w:t xml:space="preserve">Order No. 2000 cannot be misconstrued.  It plainly requires that: </w:t>
      </w:r>
    </w:p>
    <w:p>
      <w:pPr>
        <w:pStyle w:val="BodyTextStyle"/>
        <w:spacing w:lineRule="auto" w:line="240"/>
        <w:ind w:hanging="0" w:start="720" w:end="0"/>
        <w:rPr>
          <w:rFonts w:ascii="Arial" w:hAnsi="Arial" w:cs="Arial"/>
        </w:rPr>
      </w:pPr>
      <w:r>
        <w:rPr>
          <w:rFonts w:cs="Arial" w:ascii="Arial" w:hAnsi="Arial"/>
        </w:rPr>
        <w:t>the RTO be the sole provider of transmission service and sole administrator of its own open access tariff…with this, customers have nondiscriminatory and uniform access to regional transmission facilities.  This type of access cannot be assured if customers are required to deal with several transmission owners with differing tariff terms and conditions.</w:t>
      </w:r>
      <w:r>
        <w:rPr>
          <w:rStyle w:val="FootnoteCharacters"/>
          <w:rStyle w:val="FootnoteReference"/>
          <w:rFonts w:cs="Arial" w:ascii="Arial" w:hAnsi="Arial"/>
        </w:rPr>
        <w:footnoteReference w:id="12"/>
      </w:r>
    </w:p>
    <w:p>
      <w:pPr>
        <w:pStyle w:val="BodyTextStyle"/>
        <w:spacing w:lineRule="auto" w:line="240"/>
        <w:ind w:hanging="0" w:start="720" w:end="0"/>
        <w:rPr>
          <w:rFonts w:ascii="Arial" w:hAnsi="Arial" w:cs="Arial"/>
        </w:rPr>
      </w:pPr>
      <w:r>
        <w:rPr>
          <w:rFonts w:cs="Arial" w:ascii="Arial" w:hAnsi="Arial"/>
        </w:rPr>
      </w:r>
    </w:p>
    <w:p>
      <w:pPr>
        <w:pStyle w:val="BodyTextStyle"/>
        <w:spacing w:lineRule="auto" w:line="480"/>
        <w:ind w:firstLine="720" w:end="0"/>
        <w:rPr>
          <w:rFonts w:ascii="Arial" w:hAnsi="Arial" w:cs="Arial"/>
        </w:rPr>
      </w:pPr>
      <w:r>
        <w:rPr>
          <w:rFonts w:cs="Arial" w:ascii="Arial" w:hAnsi="Arial"/>
        </w:rPr>
        <w:t>If the Commission feels it acceptable to allow separate tariffs for MISO, ARTO, now TRANSLink, and any other organizational entity that files an open access transmission tariff (OATT), it may as well abandon its current effort to facilitate seamless, or most recently, standardized, market designs across regions.</w:t>
      </w:r>
    </w:p>
    <w:p>
      <w:pPr>
        <w:pStyle w:val="BodyTextStyle"/>
        <w:spacing w:lineRule="auto" w:line="480"/>
        <w:ind w:firstLine="720" w:end="0"/>
        <w:rPr>
          <w:rFonts w:ascii="Arial" w:hAnsi="Arial" w:cs="Arial"/>
          <w:caps/>
        </w:rPr>
      </w:pPr>
      <w:r>
        <w:rPr>
          <w:rFonts w:cs="Arial" w:ascii="Arial" w:hAnsi="Arial"/>
          <w:b/>
          <w:caps/>
        </w:rPr>
        <w:t>Congestion Management</w:t>
      </w:r>
    </w:p>
    <w:p>
      <w:pPr>
        <w:pStyle w:val="BodyTextStyle"/>
        <w:spacing w:lineRule="auto" w:line="480"/>
        <w:ind w:firstLine="720" w:end="0"/>
        <w:rPr/>
      </w:pPr>
      <w:r>
        <w:rPr>
          <w:rFonts w:cs="Arial" w:ascii="Arial" w:hAnsi="Arial"/>
        </w:rPr>
        <w:t>As presented, the TRANSLink congestion management proposal is not consistent with Order No. 2000, which requires that congestion management be performed at a regional level “by the RTO itself or with another entity that is not affiliated with any market participant.”</w:t>
      </w:r>
      <w:r>
        <w:rPr>
          <w:rStyle w:val="FootnoteCharacters"/>
          <w:rStyle w:val="FootnoteReference"/>
          <w:rFonts w:cs="Arial" w:ascii="Arial" w:hAnsi="Arial"/>
        </w:rPr>
        <w:footnoteReference w:id="13"/>
      </w:r>
      <w:r>
        <w:rPr>
          <w:rFonts w:cs="Arial" w:ascii="Arial" w:hAnsi="Arial"/>
        </w:rPr>
        <w:t xml:space="preserve">  As demonstrated above, the independence of all market participants is questionable at best.  The Commission should not allow such a critical function as congestion management to be performed by an entity that has strong affiliation to certain market participants.  </w:t>
      </w:r>
    </w:p>
    <w:p>
      <w:pPr>
        <w:pStyle w:val="BodyTextStyle"/>
        <w:spacing w:lineRule="auto" w:line="480"/>
        <w:ind w:firstLine="720" w:end="0"/>
        <w:rPr>
          <w:rFonts w:ascii="Arial" w:hAnsi="Arial" w:cs="Arial"/>
        </w:rPr>
      </w:pPr>
      <w:r>
        <w:rPr>
          <w:rFonts w:cs="Arial" w:ascii="Arial" w:hAnsi="Arial"/>
        </w:rPr>
        <w:t>The TRANSLink filing contains a number of holes that concern EPSA’s members and should be of concern to the Commission.  For example, the details of how the Day One congestion management will work in conjunction with the MISO congestion management Day One protocols are not solidified, and the details pertaining to Day Two are all but nonexistent.  Based on this information, or lack thereof, EPSA strongly urges the Commission to not approve TRANSLink’s proposal.  Allowing the ITC to develop its own congestion management, particularly one that is not completely compatible with the MISO system, would undermine one of the most important functions of an RTO – an entity that is better suited to perform this function efficiently.</w:t>
      </w:r>
    </w:p>
    <w:p>
      <w:pPr>
        <w:pStyle w:val="BodyTextStyle"/>
        <w:spacing w:lineRule="auto" w:line="480"/>
        <w:ind w:firstLine="720" w:end="0"/>
        <w:rPr>
          <w:rFonts w:ascii="Arial" w:hAnsi="Arial" w:cs="Arial"/>
          <w:caps/>
        </w:rPr>
      </w:pPr>
      <w:r>
        <w:rPr>
          <w:rFonts w:cs="Arial" w:ascii="Arial" w:hAnsi="Arial"/>
          <w:b/>
          <w:caps/>
        </w:rPr>
        <w:t>Other considerations</w:t>
      </w:r>
    </w:p>
    <w:p>
      <w:pPr>
        <w:pStyle w:val="BodyTextStyle"/>
        <w:spacing w:lineRule="auto" w:line="480"/>
        <w:ind w:firstLine="720" w:end="0"/>
        <w:rPr>
          <w:rFonts w:ascii="Arial" w:hAnsi="Arial" w:cs="Arial"/>
        </w:rPr>
      </w:pPr>
      <w:r>
        <w:rPr>
          <w:rFonts w:cs="Arial" w:ascii="Arial" w:hAnsi="Arial"/>
        </w:rPr>
        <w:t>The TRANSLink filing contains a number of other additional proposals that EPSA finds worrisome.  In particular:</w:t>
      </w:r>
    </w:p>
    <w:p>
      <w:pPr>
        <w:pStyle w:val="BodyTextStyle"/>
        <w:numPr>
          <w:ilvl w:val="0"/>
          <w:numId w:val="2"/>
        </w:numPr>
        <w:tabs>
          <w:tab w:val="clear" w:pos="720"/>
          <w:tab w:val="left" w:pos="1080" w:leader="none"/>
        </w:tabs>
        <w:spacing w:lineRule="auto" w:line="480"/>
        <w:ind w:hanging="360" w:start="1080" w:end="0"/>
        <w:rPr>
          <w:rFonts w:ascii="Arial" w:hAnsi="Arial" w:cs="Arial"/>
        </w:rPr>
      </w:pPr>
      <w:r>
        <w:rPr>
          <w:rFonts w:cs="Arial" w:ascii="Arial" w:hAnsi="Arial"/>
          <w:b/>
        </w:rPr>
        <w:t>Operational Authority</w:t>
      </w:r>
      <w:r>
        <w:rPr>
          <w:rFonts w:cs="Arial" w:ascii="Arial" w:hAnsi="Arial"/>
        </w:rPr>
        <w:t xml:space="preserve"> – As proposed, TRANSLink will exercise functional responsibility for the operation of the participating transmission systems.  Non-jurisdictional entities, however, will retain the authority to exercise direct control of transmission operations, as well as monitor and control real and reactive power flows and voltage levels.  In </w:t>
      </w:r>
      <w:r>
        <w:rPr>
          <w:rFonts w:cs="Arial" w:ascii="Arial" w:hAnsi="Arial"/>
          <w:i/>
        </w:rPr>
        <w:t>Commonwealth Edison</w:t>
      </w:r>
      <w:r>
        <w:rPr>
          <w:rFonts w:cs="Arial" w:ascii="Arial" w:hAnsi="Arial"/>
        </w:rPr>
        <w:t>, the Commission stated that “providing that an actual ITC filing meets the independence and scope requirements of Order No. 2000, assigning primary operational authority to the ITC should not conflict with Order No. 2000.</w:t>
      </w:r>
      <w:r>
        <w:rPr>
          <w:rStyle w:val="FootnoteCharacters"/>
          <w:rStyle w:val="FootnoteReference"/>
          <w:rFonts w:cs="Arial" w:ascii="Arial" w:hAnsi="Arial"/>
        </w:rPr>
        <w:footnoteReference w:id="14"/>
      </w:r>
      <w:r>
        <w:rPr>
          <w:rFonts w:cs="Arial" w:ascii="Arial" w:hAnsi="Arial"/>
        </w:rPr>
        <w:t xml:space="preserve">  Before approving any operating protocols that relinquish any RTO functions to the ITC, the Commission should require TRANSLink to demonstrate that it has sufficient scope and configuration, not to mention independence, of an ITC. </w:t>
      </w:r>
    </w:p>
    <w:p>
      <w:pPr>
        <w:pStyle w:val="BodyTextStyle"/>
        <w:numPr>
          <w:ilvl w:val="0"/>
          <w:numId w:val="2"/>
        </w:numPr>
        <w:tabs>
          <w:tab w:val="clear" w:pos="720"/>
          <w:tab w:val="left" w:pos="1080" w:leader="none"/>
        </w:tabs>
        <w:spacing w:lineRule="auto" w:line="480"/>
        <w:ind w:hanging="360" w:start="1080" w:end="0"/>
        <w:rPr>
          <w:rFonts w:ascii="Arial" w:hAnsi="Arial" w:cs="Arial"/>
          <w:b/>
        </w:rPr>
      </w:pPr>
      <w:r>
        <w:rPr>
          <w:rFonts w:cs="Arial" w:ascii="Arial" w:hAnsi="Arial"/>
          <w:b/>
        </w:rPr>
        <w:t>Ancillary Services</w:t>
      </w:r>
      <w:r>
        <w:rPr>
          <w:rFonts w:cs="Arial" w:ascii="Arial" w:hAnsi="Arial"/>
        </w:rPr>
        <w:t xml:space="preserve"> – TRANSLink proposes to function as the provider of last resort for ancillary services, as well as provide a number of other ancillary services in conjunction to the MISO.  EPSA maintains that assigning the ITC as supplier of last resort is inconsistent with Order No. 2000.  Moreover, it is more efficient for a large regional entity, in this case MISO, to supply such services.  Approving the TRANSLink proposal would certainly undermine MISO’s ancillary services markets.</w:t>
      </w:r>
    </w:p>
    <w:p>
      <w:pPr>
        <w:pStyle w:val="BodyTextStyle"/>
        <w:numPr>
          <w:ilvl w:val="0"/>
          <w:numId w:val="2"/>
        </w:numPr>
        <w:tabs>
          <w:tab w:val="clear" w:pos="720"/>
          <w:tab w:val="left" w:pos="1080" w:leader="none"/>
        </w:tabs>
        <w:spacing w:lineRule="auto" w:line="480"/>
        <w:ind w:hanging="360" w:start="1080" w:end="0"/>
        <w:rPr>
          <w:rFonts w:ascii="Arial" w:hAnsi="Arial" w:cs="Arial"/>
        </w:rPr>
      </w:pPr>
      <w:r>
        <w:rPr>
          <w:rFonts w:cs="Arial" w:ascii="Arial" w:hAnsi="Arial"/>
          <w:b/>
        </w:rPr>
        <w:t>Planning and Expansion</w:t>
      </w:r>
      <w:r>
        <w:rPr>
          <w:rFonts w:cs="Arial" w:ascii="Arial" w:hAnsi="Arial"/>
        </w:rPr>
        <w:t xml:space="preserve"> – TRANSLink proposes to be responsible for planning on its system as well as physical construction of new facilities, and announces its plans to coordinate with MISO in this process.  In </w:t>
      </w:r>
      <w:r>
        <w:rPr>
          <w:rFonts w:cs="Arial" w:ascii="Arial" w:hAnsi="Arial"/>
          <w:i/>
        </w:rPr>
        <w:t>Commonwealth Edison Co.</w:t>
      </w:r>
      <w:r>
        <w:rPr>
          <w:rFonts w:cs="Arial" w:ascii="Arial" w:hAnsi="Arial"/>
        </w:rPr>
        <w:t xml:space="preserve"> the Commission recognized that the “dual responsibilities” of the ITC and MISO for planning and expansion may satisfy the requirements of Order No. 2000.  Yet more recently, in the </w:t>
      </w:r>
      <w:r>
        <w:rPr>
          <w:rFonts w:cs="Arial" w:ascii="Arial" w:hAnsi="Arial"/>
          <w:i/>
        </w:rPr>
        <w:t>Mediation Report for the Southeast RTO</w:t>
      </w:r>
      <w:r>
        <w:rPr>
          <w:rFonts w:cs="Arial" w:ascii="Arial" w:hAnsi="Arial"/>
        </w:rPr>
        <w:t xml:space="preserve">, the Commission stated that all ITC planning recommendations should be subject to review and approval by the RTO.  The Commission should guarantee that its standards for independence and scope and configuration are indeed met for </w:t>
      </w:r>
      <w:r>
        <w:rPr>
          <w:rFonts w:cs="Arial" w:ascii="Arial" w:hAnsi="Arial"/>
          <w:i/>
        </w:rPr>
        <w:t>any</w:t>
      </w:r>
      <w:r>
        <w:rPr>
          <w:rFonts w:cs="Arial" w:ascii="Arial" w:hAnsi="Arial"/>
        </w:rPr>
        <w:t xml:space="preserve"> entity that is involved with planning and expansion of the grid.</w:t>
      </w:r>
    </w:p>
    <w:p>
      <w:pPr>
        <w:pStyle w:val="BodyTextStyle"/>
        <w:spacing w:lineRule="auto" w:line="240"/>
        <w:ind w:hanging="0" w:start="720" w:end="0"/>
        <w:jc w:val="center"/>
        <w:rPr>
          <w:rFonts w:ascii="Arial" w:hAnsi="Arial" w:cs="Arial"/>
          <w:b/>
        </w:rPr>
      </w:pPr>
      <w:r>
        <w:rPr>
          <w:rFonts w:cs="Arial" w:ascii="Arial" w:hAnsi="Arial"/>
          <w:b/>
        </w:rPr>
        <w:t>IV.</w:t>
      </w:r>
    </w:p>
    <w:p>
      <w:pPr>
        <w:pStyle w:val="BodyTextStyle"/>
        <w:ind w:firstLine="720" w:end="0"/>
        <w:rPr>
          <w:rFonts w:ascii="Arial" w:hAnsi="Arial" w:cs="Arial"/>
          <w:b/>
        </w:rPr>
      </w:pPr>
      <w:r>
        <w:rPr>
          <w:rFonts w:cs="Arial" w:ascii="Arial" w:hAnsi="Arial"/>
          <w:b/>
        </w:rPr>
      </w:r>
    </w:p>
    <w:p>
      <w:pPr>
        <w:pStyle w:val="BodyText2"/>
        <w:ind w:firstLine="720" w:end="0"/>
        <w:rPr/>
      </w:pPr>
      <w:r>
        <w:rPr/>
        <w:t xml:space="preserve">WHEREFORE, it is clear that most, if not all of the TRANSLink proposal fails on the Commission’s independence requirement.  The Commission should make sure that the ITC sufficiently meets these requirements in order to ensure equal and nondiscriminatory treatment of all users of the grid on an equal basis.  EPSA respectfully requests leave to intervene in, and become a party to, this proceeding, and to be afforded all rights appropriate to that status. </w:t>
      </w:r>
    </w:p>
    <w:p>
      <w:pPr>
        <w:pStyle w:val="BodyTextStyle"/>
        <w:rPr/>
      </w:pPr>
      <w:r>
        <w:rPr/>
      </w:r>
    </w:p>
    <w:tbl>
      <w:tblPr>
        <w:tblW w:w="10008" w:type="dxa"/>
        <w:jc w:val="start"/>
        <w:tblInd w:w="0" w:type="dxa"/>
        <w:tblLayout w:type="fixed"/>
        <w:tblCellMar>
          <w:top w:w="0" w:type="dxa"/>
          <w:start w:w="108" w:type="dxa"/>
          <w:bottom w:w="0" w:type="dxa"/>
          <w:end w:w="108" w:type="dxa"/>
        </w:tblCellMar>
      </w:tblPr>
      <w:tblGrid>
        <w:gridCol w:w="4878"/>
        <w:gridCol w:w="5130"/>
      </w:tblGrid>
      <w:tr>
        <w:trPr/>
        <w:tc>
          <w:tcPr>
            <w:tcW w:w="4878" w:type="dxa"/>
            <w:tcBorders/>
          </w:tcPr>
          <w:p>
            <w:pPr>
              <w:pStyle w:val="Normal"/>
              <w:spacing w:lineRule="auto" w:line="480"/>
              <w:rPr>
                <w:rFonts w:ascii="Arial" w:hAnsi="Arial" w:cs="Arial"/>
                <w:sz w:val="24"/>
              </w:rPr>
            </w:pPr>
            <w:r>
              <w:rPr>
                <w:rFonts w:cs="Arial" w:ascii="Arial" w:hAnsi="Arial"/>
                <w:sz w:val="24"/>
              </w:rPr>
              <w:t>Dated: November 28, 2001</w:t>
            </w:r>
          </w:p>
        </w:tc>
        <w:tc>
          <w:tcPr>
            <w:tcW w:w="5130" w:type="dxa"/>
            <w:tcBorders/>
          </w:tcPr>
          <w:p>
            <w:pPr>
              <w:pStyle w:val="Normal"/>
              <w:rPr>
                <w:rFonts w:ascii="Arial" w:hAnsi="Arial" w:cs="Arial"/>
                <w:sz w:val="24"/>
              </w:rPr>
            </w:pPr>
            <w:r>
              <w:rPr>
                <w:rFonts w:cs="Arial" w:ascii="Arial" w:hAnsi="Arial"/>
                <w:sz w:val="24"/>
              </w:rPr>
              <w:t>Respectfully submitted,</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rFonts w:ascii="Arial" w:hAnsi="Arial" w:cs="Arial"/>
                <w:b/>
                <w:sz w:val="28"/>
              </w:rPr>
            </w:pPr>
            <w:r>
              <w:rPr>
                <w:rFonts w:cs="Arial" w:ascii="Arial" w:hAnsi="Arial"/>
                <w:b/>
                <w:sz w:val="28"/>
              </w:rPr>
            </w:r>
          </w:p>
          <w:p>
            <w:pPr>
              <w:pStyle w:val="Normal"/>
              <w:rPr>
                <w:rFonts w:ascii="Arial" w:hAnsi="Arial" w:cs="Arial"/>
                <w:sz w:val="24"/>
              </w:rPr>
            </w:pPr>
            <w:r>
              <w:rPr>
                <w:rFonts w:cs="Arial" w:ascii="Arial" w:hAnsi="Arial"/>
                <w:sz w:val="24"/>
              </w:rPr>
              <w:t>_____________________________</w:t>
            </w:r>
          </w:p>
        </w:tc>
      </w:tr>
      <w:tr>
        <w:trPr/>
        <w:tc>
          <w:tcPr>
            <w:tcW w:w="4878" w:type="dxa"/>
            <w:tcBorders/>
          </w:tcPr>
          <w:p>
            <w:pPr>
              <w:pStyle w:val="Header"/>
              <w:tabs>
                <w:tab w:val="clear" w:pos="4320"/>
                <w:tab w:val="clear" w:pos="8640"/>
              </w:tabs>
              <w:snapToGrid w:val="false"/>
              <w:spacing w:lineRule="auto" w:line="480"/>
              <w:rPr>
                <w:rFonts w:ascii="Arial" w:hAnsi="Arial" w:cs="Arial"/>
                <w:sz w:val="24"/>
              </w:rPr>
            </w:pPr>
            <w:r>
              <w:rPr>
                <w:rFonts w:cs="Arial" w:ascii="Arial" w:hAnsi="Arial"/>
                <w:sz w:val="24"/>
              </w:rPr>
            </w:r>
          </w:p>
        </w:tc>
        <w:tc>
          <w:tcPr>
            <w:tcW w:w="5130" w:type="dxa"/>
            <w:tcBorders/>
          </w:tcPr>
          <w:p>
            <w:pPr>
              <w:pStyle w:val="Normal"/>
              <w:rPr>
                <w:rFonts w:ascii="Arial" w:hAnsi="Arial" w:cs="Arial"/>
                <w:sz w:val="24"/>
              </w:rPr>
            </w:pPr>
            <w:r>
              <w:rPr>
                <w:rFonts w:cs="Arial" w:ascii="Arial" w:hAnsi="Arial"/>
                <w:sz w:val="24"/>
              </w:rPr>
              <w:t>Julie Simon, Vice President of Policy</w:t>
            </w:r>
          </w:p>
          <w:p>
            <w:pPr>
              <w:pStyle w:val="Normal"/>
              <w:rPr>
                <w:rFonts w:ascii="Arial" w:hAnsi="Arial" w:cs="Arial"/>
                <w:sz w:val="24"/>
              </w:rPr>
            </w:pPr>
            <w:r>
              <w:rPr>
                <w:rFonts w:cs="Arial" w:ascii="Arial" w:hAnsi="Arial"/>
                <w:sz w:val="24"/>
              </w:rPr>
              <w:t>Erin N. Perrigo, Manager of Policy</w:t>
            </w:r>
          </w:p>
          <w:p>
            <w:pPr>
              <w:pStyle w:val="Normal"/>
              <w:rPr>
                <w:rFonts w:ascii="Arial" w:hAnsi="Arial" w:cs="Arial"/>
                <w:sz w:val="24"/>
              </w:rPr>
            </w:pPr>
            <w:r>
              <w:rPr>
                <w:rFonts w:cs="Arial" w:ascii="Arial" w:hAnsi="Arial"/>
                <w:sz w:val="24"/>
              </w:rPr>
              <w:t>Electric Power Supply Association</w:t>
            </w:r>
          </w:p>
          <w:p>
            <w:pPr>
              <w:pStyle w:val="Normal"/>
              <w:rPr/>
            </w:pPr>
            <w:r>
              <w:rPr>
                <w:rFonts w:cs="Arial" w:ascii="Arial" w:hAnsi="Arial"/>
                <w:sz w:val="24"/>
              </w:rPr>
              <w:t>1401 New York Avenue, 11</w:t>
            </w:r>
            <w:r>
              <w:rPr>
                <w:rFonts w:cs="Arial" w:ascii="Arial" w:hAnsi="Arial"/>
                <w:sz w:val="24"/>
                <w:vertAlign w:val="superscript"/>
              </w:rPr>
              <w:t>th</w:t>
            </w:r>
            <w:r>
              <w:rPr>
                <w:rFonts w:cs="Arial" w:ascii="Arial" w:hAnsi="Arial"/>
                <w:sz w:val="24"/>
              </w:rPr>
              <w:t xml:space="preserve"> Floor</w:t>
            </w:r>
          </w:p>
          <w:p>
            <w:pPr>
              <w:pStyle w:val="Normal"/>
              <w:rPr>
                <w:rFonts w:ascii="Arial" w:hAnsi="Arial" w:cs="Arial"/>
                <w:sz w:val="24"/>
              </w:rPr>
            </w:pPr>
            <w:r>
              <w:rPr>
                <w:rFonts w:cs="Arial" w:ascii="Arial" w:hAnsi="Arial"/>
                <w:sz w:val="24"/>
              </w:rPr>
              <w:t>Washington, DC  20005</w:t>
            </w:r>
          </w:p>
          <w:p>
            <w:pPr>
              <w:pStyle w:val="Normal"/>
              <w:rPr>
                <w:rFonts w:ascii="Arial" w:hAnsi="Arial" w:cs="Arial"/>
                <w:sz w:val="24"/>
              </w:rPr>
            </w:pPr>
            <w:r>
              <w:rPr>
                <w:rFonts w:cs="Arial" w:ascii="Arial" w:hAnsi="Arial"/>
                <w:sz w:val="24"/>
              </w:rPr>
              <w:t>(202) 628-8200</w:t>
            </w:r>
          </w:p>
        </w:tc>
      </w:tr>
      <w:tr>
        <w:trPr/>
        <w:tc>
          <w:tcPr>
            <w:tcW w:w="4878" w:type="dxa"/>
            <w:tcBorders/>
          </w:tcPr>
          <w:p>
            <w:pPr>
              <w:pStyle w:val="Normal"/>
              <w:snapToGrid w:val="false"/>
              <w:spacing w:lineRule="auto" w:line="480"/>
              <w:rPr>
                <w:rFonts w:ascii="Arial" w:hAnsi="Arial" w:cs="Arial"/>
                <w:sz w:val="24"/>
              </w:rPr>
            </w:pPr>
            <w:r>
              <w:rPr>
                <w:rFonts w:cs="Arial" w:ascii="Arial" w:hAnsi="Arial"/>
                <w:sz w:val="24"/>
              </w:rPr>
            </w:r>
          </w:p>
        </w:tc>
        <w:tc>
          <w:tcPr>
            <w:tcW w:w="5130" w:type="dxa"/>
            <w:tcBorders/>
          </w:tcPr>
          <w:p>
            <w:pPr>
              <w:pStyle w:val="Normal"/>
              <w:snapToGrid w:val="false"/>
              <w:spacing w:lineRule="auto" w:line="480"/>
              <w:rPr>
                <w:rFonts w:ascii="Arial" w:hAnsi="Arial" w:cs="Arial"/>
                <w:sz w:val="24"/>
              </w:rPr>
            </w:pPr>
            <w:r>
              <w:rPr>
                <w:rFonts w:cs="Arial" w:ascii="Arial" w:hAnsi="Arial"/>
                <w:sz w:val="24"/>
              </w:rPr>
            </w:r>
          </w:p>
        </w:tc>
      </w:tr>
      <w:tr>
        <w:trPr/>
        <w:tc>
          <w:tcPr>
            <w:tcW w:w="4878" w:type="dxa"/>
            <w:tcBorders/>
          </w:tcPr>
          <w:p>
            <w:pPr>
              <w:pStyle w:val="Normal"/>
              <w:snapToGrid w:val="false"/>
              <w:spacing w:lineRule="auto" w:line="480"/>
              <w:rPr>
                <w:rFonts w:ascii="Arial" w:hAnsi="Arial" w:cs="Arial"/>
                <w:sz w:val="24"/>
              </w:rPr>
            </w:pPr>
            <w:r>
              <w:rPr>
                <w:rFonts w:cs="Arial" w:ascii="Arial" w:hAnsi="Arial"/>
                <w:sz w:val="24"/>
              </w:rPr>
            </w:r>
          </w:p>
        </w:tc>
        <w:tc>
          <w:tcPr>
            <w:tcW w:w="5130" w:type="dxa"/>
            <w:tcBorders/>
          </w:tcPr>
          <w:p>
            <w:pPr>
              <w:pStyle w:val="Normal"/>
              <w:snapToGrid w:val="false"/>
              <w:spacing w:lineRule="auto" w:line="480"/>
              <w:rPr>
                <w:rFonts w:ascii="Arial" w:hAnsi="Arial" w:cs="Arial"/>
                <w:sz w:val="24"/>
              </w:rPr>
            </w:pPr>
            <w:r>
              <w:rPr>
                <w:rFonts w:cs="Arial" w:ascii="Arial" w:hAnsi="Arial"/>
                <w:sz w:val="24"/>
              </w:rPr>
            </w:r>
          </w:p>
          <w:p>
            <w:pPr>
              <w:pStyle w:val="Normal"/>
              <w:spacing w:lineRule="auto" w:line="480"/>
              <w:rPr>
                <w:rFonts w:ascii="Arial" w:hAnsi="Arial" w:cs="Arial"/>
                <w:sz w:val="24"/>
              </w:rPr>
            </w:pPr>
            <w:r>
              <w:rPr>
                <w:rFonts w:cs="Arial" w:ascii="Arial" w:hAnsi="Arial"/>
                <w:sz w:val="24"/>
              </w:rPr>
            </w:r>
          </w:p>
          <w:p>
            <w:pPr>
              <w:pStyle w:val="Normal"/>
              <w:spacing w:lineRule="auto" w:line="480"/>
              <w:rPr>
                <w:rFonts w:ascii="Arial" w:hAnsi="Arial" w:cs="Arial"/>
                <w:sz w:val="24"/>
              </w:rPr>
            </w:pPr>
            <w:r>
              <w:rPr>
                <w:rFonts w:cs="Arial" w:ascii="Arial" w:hAnsi="Arial"/>
                <w:sz w:val="24"/>
              </w:rPr>
            </w:r>
          </w:p>
          <w:p>
            <w:pPr>
              <w:pStyle w:val="Normal"/>
              <w:spacing w:lineRule="auto" w:line="480"/>
              <w:rPr>
                <w:rFonts w:ascii="Arial" w:hAnsi="Arial" w:cs="Arial"/>
                <w:sz w:val="24"/>
              </w:rPr>
            </w:pPr>
            <w:r>
              <w:rPr>
                <w:rFonts w:cs="Arial" w:ascii="Arial" w:hAnsi="Arial"/>
                <w:sz w:val="24"/>
              </w:rPr>
            </w:r>
          </w:p>
        </w:tc>
      </w:tr>
    </w:tbl>
    <w:p>
      <w:pPr>
        <w:pStyle w:val="TitleStyle"/>
        <w:spacing w:lineRule="auto" w:line="480"/>
        <w:rPr>
          <w:rFonts w:ascii="Arial" w:hAnsi="Arial" w:cs="Arial"/>
          <w:u w:val="single"/>
        </w:rPr>
      </w:pPr>
      <w:r>
        <w:rPr>
          <w:rFonts w:cs="Arial" w:ascii="Arial" w:hAnsi="Arial"/>
          <w:u w:val="single"/>
        </w:rPr>
      </w:r>
    </w:p>
    <w:p>
      <w:pPr>
        <w:pStyle w:val="TitleStyle"/>
        <w:spacing w:lineRule="auto" w:line="480"/>
        <w:rPr>
          <w:rFonts w:ascii="Arial" w:hAnsi="Arial" w:cs="Arial"/>
          <w:u w:val="single"/>
        </w:rPr>
      </w:pPr>
      <w:r>
        <w:rPr>
          <w:rFonts w:cs="Arial" w:ascii="Arial" w:hAnsi="Arial"/>
          <w:u w:val="single"/>
        </w:rPr>
      </w:r>
    </w:p>
    <w:p>
      <w:pPr>
        <w:pStyle w:val="TitleStyle"/>
        <w:spacing w:lineRule="auto" w:line="480"/>
        <w:rPr>
          <w:rFonts w:ascii="Arial" w:hAnsi="Arial" w:cs="Arial"/>
          <w:u w:val="single"/>
        </w:rPr>
      </w:pPr>
      <w:r>
        <w:rPr>
          <w:rFonts w:cs="Arial" w:ascii="Arial" w:hAnsi="Arial"/>
          <w:u w:val="single"/>
        </w:rPr>
      </w:r>
    </w:p>
    <w:p>
      <w:pPr>
        <w:pStyle w:val="TitleStyle"/>
        <w:spacing w:lineRule="auto" w:line="480"/>
        <w:rPr>
          <w:rFonts w:ascii="Arial" w:hAnsi="Arial" w:cs="Arial"/>
          <w:u w:val="single"/>
        </w:rPr>
      </w:pPr>
      <w:r>
        <w:rPr>
          <w:rFonts w:cs="Arial" w:ascii="Arial" w:hAnsi="Arial"/>
          <w:u w:val="single"/>
        </w:rPr>
        <w:t>CErtificate of service</w:t>
      </w:r>
    </w:p>
    <w:p>
      <w:pPr>
        <w:pStyle w:val="TitleStyle"/>
        <w:spacing w:lineRule="auto" w:line="480"/>
        <w:rPr>
          <w:rFonts w:ascii="Arial" w:hAnsi="Arial" w:cs="Arial"/>
          <w:u w:val="single"/>
        </w:rPr>
      </w:pPr>
      <w:r>
        <w:rPr>
          <w:rFonts w:cs="Arial" w:ascii="Arial" w:hAnsi="Arial"/>
          <w:u w:val="single"/>
        </w:rPr>
      </w:r>
    </w:p>
    <w:p>
      <w:pPr>
        <w:pStyle w:val="BodyTextStyle"/>
        <w:spacing w:lineRule="auto" w:line="480"/>
        <w:rPr>
          <w:rFonts w:ascii="Arial" w:hAnsi="Arial" w:cs="Arial"/>
        </w:rPr>
      </w:pPr>
      <w:r>
        <w:rPr>
          <w:rFonts w:cs="Arial" w:ascii="Arial" w:hAnsi="Arial"/>
        </w:rPr>
        <w:t>I hereby certify that I have served a copy of the foregoing document by first class United States mail, postage prepaid, upon each person designated on the official service list compiled by the Secretary in this proceeding.</w:t>
      </w:r>
    </w:p>
    <w:p>
      <w:pPr>
        <w:pStyle w:val="BodyText"/>
        <w:spacing w:lineRule="auto" w:line="480"/>
        <w:rPr/>
      </w:pPr>
      <w:r>
        <w:rPr>
          <w:rFonts w:cs="Arial" w:ascii="Arial" w:hAnsi="Arial"/>
          <w:caps/>
        </w:rPr>
        <w:t>d</w:t>
      </w:r>
      <w:r>
        <w:rPr>
          <w:rFonts w:cs="Arial" w:ascii="Arial" w:hAnsi="Arial"/>
        </w:rPr>
        <w:t>ated at Washington, D.C. this 28</w:t>
      </w:r>
      <w:r>
        <w:rPr>
          <w:rFonts w:cs="Arial" w:ascii="Arial" w:hAnsi="Arial"/>
          <w:vertAlign w:val="superscript"/>
        </w:rPr>
        <w:t>th</w:t>
      </w:r>
      <w:r>
        <w:rPr>
          <w:rFonts w:cs="Arial" w:ascii="Arial" w:hAnsi="Arial"/>
        </w:rPr>
        <w:t xml:space="preserve"> day of November, 2001.</w:t>
      </w:r>
    </w:p>
    <w:p>
      <w:pPr>
        <w:pStyle w:val="Normal"/>
        <w:spacing w:lineRule="auto" w:line="480"/>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tab/>
        <w:tab/>
        <w:tab/>
        <w:tab/>
        <w:tab/>
        <w:tab/>
        <w:tab/>
        <w:tab/>
        <w:tab/>
        <w:tab/>
        <w:tab/>
      </w:r>
    </w:p>
    <w:p>
      <w:pPr>
        <w:pStyle w:val="SignatureBlock"/>
        <w:spacing w:lineRule="auto" w:line="240"/>
        <w:ind w:start="3600" w:end="0"/>
        <w:rPr>
          <w:rFonts w:ascii="Arial" w:hAnsi="Arial" w:cs="Arial"/>
        </w:rPr>
      </w:pPr>
      <w:r>
        <w:rPr>
          <w:rFonts w:cs="Arial" w:ascii="Arial" w:hAnsi="Arial"/>
        </w:rPr>
        <w:t>___________________________________</w:t>
      </w:r>
    </w:p>
    <w:p>
      <w:pPr>
        <w:pStyle w:val="BodyTextStyle"/>
        <w:ind w:firstLine="720" w:start="2880" w:end="0"/>
        <w:rPr>
          <w:rFonts w:ascii="Arial" w:hAnsi="Arial" w:cs="Arial"/>
        </w:rPr>
      </w:pPr>
      <w:r>
        <w:rPr>
          <w:rFonts w:cs="Arial" w:ascii="Arial" w:hAnsi="Arial"/>
        </w:rPr>
        <w:t>Julie Simon</w:t>
      </w:r>
    </w:p>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Galliard">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11</w:t>
    </w:r>
    <w:r>
      <w:rPr>
        <w:rStyle w:val="PageNumber"/>
        <w:rFonts w:cs="Arial" w:ascii="Arial" w:hAnsi="Arial"/>
      </w:rPr>
      <w:fldChar w:fldCharType="end"/>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TRANSLink Participants include: Alliant Energy Corporate Services, Inc. on behalf of its operating company affiliates IES Utilities, Inc. and Interstate Power Company; MidAmerican Energy Company; Xcel Energy Services, Inc. on behalf of its operating company affiliates Northern States Power Company Northern States Power Company – Wisconsin, Public Service Company of Colorado, and Southwestern Public Service Company (jointly, Xcel Energy) (Private Power Participants), together with the non-jurisdictional transmission systems of the Nebraska Public Power District (NPPD), Omaha Public Power District (OPPD) (Public Power Participants) and Corn Belt Power Cooperative (Corn Belt) (Cooperative Power Participants) (collectively, TRANSLink Participants).</w:t>
      </w:r>
    </w:p>
  </w:footnote>
  <w:footnote w:id="3">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ab/>
        <w:t>The comments contained in this filing represent the position of EPSA as an organization, but not necessarily the views of any particular member with respect to any issue.</w:t>
      </w:r>
    </w:p>
  </w:footnote>
  <w:footnote w:id="4">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ab/>
      </w:r>
      <w:r>
        <w:rPr>
          <w:rFonts w:cs="Arial" w:ascii="Arial" w:hAnsi="Arial"/>
          <w:i/>
          <w:sz w:val="20"/>
        </w:rPr>
        <w:t>Commonwealth Edison Co., et al.</w:t>
      </w:r>
      <w:r>
        <w:rPr>
          <w:rFonts w:cs="Arial" w:ascii="Arial" w:hAnsi="Arial"/>
          <w:sz w:val="20"/>
        </w:rPr>
        <w:t xml:space="preserve"> 90 FERC ¶ 61,192 (2000).</w:t>
      </w:r>
    </w:p>
  </w:footnote>
  <w:footnote w:id="5">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i/>
          <w:sz w:val="20"/>
        </w:rPr>
        <w:t>Electricity Market Design and Structure</w:t>
      </w:r>
      <w:r>
        <w:rPr>
          <w:rFonts w:cs="Arial" w:ascii="Arial" w:hAnsi="Arial"/>
          <w:sz w:val="20"/>
        </w:rPr>
        <w:t xml:space="preserve">, Docket No. RM01-12-000, Order Providing Guidance on Continued Processing of RTO Filings (Issued November 7, 2001), </w:t>
      </w:r>
      <w:r>
        <w:rPr>
          <w:rFonts w:cs="Arial" w:ascii="Arial" w:hAnsi="Arial"/>
          <w:i/>
          <w:sz w:val="20"/>
        </w:rPr>
        <w:t>slip op.</w:t>
      </w:r>
      <w:r>
        <w:rPr>
          <w:rFonts w:cs="Arial" w:ascii="Arial" w:hAnsi="Arial"/>
          <w:sz w:val="20"/>
        </w:rPr>
        <w:t xml:space="preserve"> at 2-3.</w:t>
      </w:r>
    </w:p>
  </w:footnote>
  <w:footnote w:id="6">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Order No. 2000 at 31,061.</w:t>
      </w:r>
    </w:p>
  </w:footnote>
  <w:footnote w:id="7">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Transmittal letter at 16.</w:t>
      </w:r>
    </w:p>
  </w:footnote>
  <w:footnote w:id="8">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Order No. 2000 at 31,062.</w:t>
      </w:r>
    </w:p>
  </w:footnote>
  <w:footnote w:id="9">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i/>
          <w:sz w:val="20"/>
        </w:rPr>
        <w:t>Id.</w:t>
      </w:r>
    </w:p>
  </w:footnote>
  <w:footnote w:id="10">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Transmittal Letter at 20.</w:t>
      </w:r>
    </w:p>
  </w:footnote>
  <w:footnote w:id="11">
    <w:p>
      <w:pPr>
        <w:pStyle w:val="FootnoteText"/>
        <w:spacing w:lineRule="exact" w:line="260" w:before="0" w:after="120"/>
        <w:rPr/>
      </w:pPr>
      <w:r>
        <w:rPr>
          <w:rStyle w:val="FootnoteCharacters"/>
        </w:rPr>
        <w:footnoteRef/>
      </w:r>
      <w:r>
        <w:rPr>
          <w:rFonts w:cs="Arial" w:ascii="Arial" w:hAnsi="Arial"/>
          <w:i/>
          <w:sz w:val="20"/>
        </w:rPr>
        <w:t>Id</w:t>
      </w:r>
      <w:r>
        <w:rPr>
          <w:rFonts w:cs="Arial" w:ascii="Arial" w:hAnsi="Arial"/>
          <w:sz w:val="20"/>
        </w:rPr>
        <w:t>.</w:t>
      </w:r>
    </w:p>
  </w:footnote>
  <w:footnote w:id="12">
    <w:p>
      <w:pPr>
        <w:pStyle w:val="FootnoteText"/>
        <w:spacing w:lineRule="exact" w:line="260" w:before="0" w:after="120"/>
        <w:rPr/>
      </w:pPr>
      <w:r>
        <w:rPr>
          <w:rStyle w:val="FootnoteCharacters"/>
        </w:rPr>
        <w:footnoteRef/>
      </w:r>
      <w:r>
        <w:rPr>
          <w:rFonts w:cs="Arial" w:ascii="Arial" w:hAnsi="Arial"/>
          <w:sz w:val="20"/>
        </w:rPr>
        <w:t>Order No. 2000 at 31,108.</w:t>
      </w:r>
    </w:p>
  </w:footnote>
  <w:footnote w:id="13">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Order No. 2000 at 31,126.</w:t>
      </w:r>
    </w:p>
  </w:footnote>
  <w:footnote w:id="14">
    <w:p>
      <w:pPr>
        <w:pStyle w:val="FootnoteText"/>
        <w:spacing w:lineRule="exact" w:line="260" w:before="0" w:after="120"/>
        <w:rPr/>
      </w:pPr>
      <w:r>
        <w:rPr>
          <w:rStyle w:val="FootnoteCharacters"/>
        </w:rPr>
        <w:footnoteRef/>
      </w:r>
      <w:r>
        <w:rPr>
          <w:rFonts w:cs="Arial" w:ascii="Arial" w:hAnsi="Arial"/>
        </w:rPr>
        <w:t xml:space="preserve"> </w:t>
      </w:r>
      <w:r>
        <w:rPr>
          <w:rFonts w:cs="Arial" w:ascii="Arial" w:hAnsi="Arial"/>
        </w:rPr>
        <w:tab/>
      </w:r>
      <w:r>
        <w:rPr>
          <w:rFonts w:cs="Arial" w:ascii="Arial" w:hAnsi="Arial"/>
          <w:i/>
        </w:rPr>
        <w:t>Commonwealth Edison Co.</w:t>
      </w:r>
      <w:r>
        <w:rPr>
          <w:rFonts w:cs="Arial" w:ascii="Arial" w:hAnsi="Arial"/>
        </w:rPr>
        <w:t xml:space="preserve"> at 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8"/>
      </w:rPr>
    </w:pPr>
    <w:r>
      <w:rPr>
        <w:rFonts w:cs="Arial" w:ascii="Arial" w:hAnsi="Arial"/>
        <w:b/>
        <w:sz w:val="28"/>
      </w:rPr>
      <w:t>DRAFT</w:t>
    </w:r>
  </w:p>
  <w:p>
    <w:pPr>
      <w:pStyle w:val="Header"/>
      <w:jc w:val="end"/>
      <w:rPr/>
    </w:pPr>
    <w:r>
      <w:rPr>
        <w:rFonts w:cs="Arial" w:ascii="Arial" w:hAnsi="Arial"/>
        <w:b/>
        <w:sz w:val="28"/>
      </w:rPr>
      <w:fldChar w:fldCharType="begin"/>
    </w:r>
    <w:r>
      <w:rPr>
        <w:sz w:val="28"/>
        <w:b/>
        <w:rFonts w:cs="Arial" w:ascii="Arial" w:hAnsi="Arial"/>
      </w:rPr>
      <w:instrText xml:space="preserve"> DATE \@"MM\/dd\/yy" </w:instrText>
    </w:r>
    <w:r>
      <w:rPr>
        <w:sz w:val="28"/>
        <w:b/>
        <w:rFonts w:cs="Arial" w:ascii="Arial" w:hAnsi="Arial"/>
      </w:rPr>
      <w:fldChar w:fldCharType="separate"/>
    </w:r>
    <w:r>
      <w:rPr>
        <w:sz w:val="28"/>
        <w:b/>
        <w:rFonts w:cs="Arial" w:ascii="Arial" w:hAnsi="Arial"/>
      </w:rPr>
      <w:t>09/28/25</w:t>
    </w:r>
    <w:r>
      <w:rPr>
        <w:sz w:val="28"/>
        <w:b/>
        <w:rFonts w:cs="Arial" w:ascii="Arial" w:hAnsi="Arial"/>
      </w:rPr>
      <w:fldChar w:fldCharType="end"/>
    </w:r>
    <w:r>
      <w:rPr>
        <w:rFonts w:cs="Arial" w:ascii="Arial" w:hAnsi="Arial"/>
        <w:b/>
        <w:sz w:val="28"/>
      </w:rPr>
      <w:fldChar w:fldCharType="begin"/>
    </w:r>
    <w:r>
      <w:rPr>
        <w:sz w:val="28"/>
        <w:b/>
        <w:rFonts w:cs="Arial" w:ascii="Arial" w:hAnsi="Arial"/>
      </w:rPr>
      <w:instrText xml:space="preserve"> TIME \@"H:mm\ AM/PM" </w:instrText>
    </w:r>
    <w:r>
      <w:rPr>
        <w:sz w:val="28"/>
        <w:b/>
        <w:rFonts w:cs="Arial" w:ascii="Arial" w:hAnsi="Arial"/>
      </w:rPr>
      <w:fldChar w:fldCharType="separate"/>
    </w:r>
    <w:r>
      <w:rPr>
        <w:sz w:val="28"/>
        <w:b/>
        <w:rFonts w:cs="Arial" w:ascii="Arial" w:hAnsi="Arial"/>
      </w:rPr>
      <w:t>9:18 AM</w:t>
    </w:r>
    <w:r>
      <w:rPr>
        <w:sz w:val="28"/>
        <w:b/>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u w:val="single"/>
    </w:rPr>
  </w:style>
  <w:style w:type="paragraph" w:styleId="Heading2">
    <w:name w:val="heading 2"/>
    <w:basedOn w:val="Normal"/>
    <w:next w:val="Normal"/>
    <w:qFormat/>
    <w:pPr>
      <w:keepNext w:val="true"/>
      <w:numPr>
        <w:ilvl w:val="1"/>
        <w:numId w:val="1"/>
      </w:numPr>
      <w:ind w:hanging="0" w:start="1440" w:end="0"/>
      <w:outlineLvl w:val="1"/>
    </w:pPr>
    <w:rPr>
      <w:rFonts w:ascii="Arial" w:hAnsi="Arial" w:cs="Arial"/>
      <w:sz w:val="24"/>
    </w:rPr>
  </w:style>
  <w:style w:type="paragraph" w:styleId="Heading3">
    <w:name w:val="heading 3"/>
    <w:basedOn w:val="Normal"/>
    <w:next w:val="Normal"/>
    <w:qFormat/>
    <w:pPr>
      <w:keepNext w:val="true"/>
      <w:numPr>
        <w:ilvl w:val="2"/>
        <w:numId w:val="1"/>
      </w:numPr>
      <w:outlineLvl w:val="2"/>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rFonts w:ascii="Times New Roman" w:hAnsi="Times New Roman" w:cs="Times New Roman"/>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sz w:val="2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sz w:val="24"/>
    </w:rPr>
  </w:style>
  <w:style w:type="paragraph" w:styleId="BodyText">
    <w:name w:val="Body Text"/>
    <w:basedOn w:val="Normal"/>
    <w:pPr>
      <w:spacing w:lineRule="atLeast" w:line="480" w:before="0" w:after="273"/>
      <w:ind w:firstLine="1080" w:start="0" w:end="0"/>
    </w:pPr>
    <w:rPr>
      <w:rFonts w:ascii="Galliard;Times New Roman" w:hAnsi="Galliard;Times New Roman" w:cs="Galliard;Times New Roman"/>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Style">
    <w:name w:val="Body Text Style"/>
    <w:basedOn w:val="Normal"/>
    <w:qFormat/>
    <w:pPr>
      <w:spacing w:lineRule="exact" w:line="520"/>
      <w:ind w:firstLine="1080" w:start="0" w:end="0"/>
    </w:pPr>
    <w:rPr>
      <w:rFonts w:ascii="Galliard;Times New Roman" w:hAnsi="Galliard;Times New Roman" w:cs="Galliard;Times New Roman"/>
      <w:sz w:val="24"/>
    </w:rPr>
  </w:style>
  <w:style w:type="paragraph" w:styleId="FootnoteText">
    <w:name w:val="footnote text"/>
    <w:basedOn w:val="Normal"/>
    <w:pPr>
      <w:spacing w:lineRule="exact" w:line="260" w:before="0" w:after="120"/>
    </w:pPr>
    <w:rPr>
      <w:rFonts w:ascii="Galliard;Times New Roman" w:hAnsi="Galliard;Times New Roman" w:cs="Galliard;Times New Roman"/>
      <w:sz w:val="22"/>
    </w:rPr>
  </w:style>
  <w:style w:type="paragraph" w:styleId="BodyText3">
    <w:name w:val="Body Text 3"/>
    <w:basedOn w:val="Normal"/>
    <w:qFormat/>
    <w:pPr>
      <w:spacing w:lineRule="auto" w:line="480"/>
    </w:pPr>
    <w:rPr>
      <w:rFonts w:ascii="Arial" w:hAnsi="Arial" w:cs="Arial"/>
      <w:color w:val="000000"/>
      <w:sz w:val="24"/>
    </w:rPr>
  </w:style>
  <w:style w:type="paragraph" w:styleId="BodyTextIndent">
    <w:name w:val="Body Text Indent"/>
    <w:basedOn w:val="Normal"/>
    <w:pPr>
      <w:spacing w:lineRule="auto" w:line="480"/>
      <w:ind w:firstLine="720" w:start="0" w:end="0"/>
    </w:pPr>
    <w:rPr>
      <w:rFonts w:ascii="Arial" w:hAnsi="Arial" w:cs="Arial"/>
      <w:sz w:val="24"/>
    </w:rPr>
  </w:style>
  <w:style w:type="paragraph" w:styleId="BodyText2">
    <w:name w:val="Body Text 2"/>
    <w:basedOn w:val="Normal"/>
    <w:qFormat/>
    <w:pPr>
      <w:spacing w:lineRule="auto" w:line="480"/>
    </w:pPr>
    <w:rPr>
      <w:rFonts w:ascii="Arial" w:hAnsi="Arial" w:cs="Arial"/>
      <w:sz w:val="24"/>
    </w:rPr>
  </w:style>
  <w:style w:type="paragraph" w:styleId="SignatureBlock">
    <w:name w:val="Signature Block"/>
    <w:basedOn w:val="Normal"/>
    <w:qFormat/>
    <w:pPr>
      <w:spacing w:lineRule="exact" w:line="260"/>
      <w:ind w:hanging="0" w:start="4680" w:end="0"/>
    </w:pPr>
    <w:rPr>
      <w:rFonts w:ascii="Galliard;Times New Roman" w:hAnsi="Galliard;Times New Roman" w:cs="Galliard;Times New Roman"/>
      <w:sz w:val="24"/>
    </w:rPr>
  </w:style>
  <w:style w:type="paragraph" w:styleId="TitleStyle">
    <w:name w:val="Title Style"/>
    <w:basedOn w:val="Normal"/>
    <w:qFormat/>
    <w:pPr>
      <w:jc w:val="center"/>
    </w:pPr>
    <w:rPr>
      <w:rFonts w:ascii="Galliard;Times New Roman" w:hAnsi="Galliard;Times New Roman" w:cs="Galliard;Times New Roman"/>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autoSpaceDE w:val="false"/>
      <w:ind w:hanging="720" w:start="720" w:end="0"/>
      <w:jc w:val="both"/>
    </w:pPr>
    <w:rPr>
      <w:rFonts w:ascii="Arial" w:hAnsi="Arial" w:cs="Arial"/>
      <w:color w:val="00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2001-10-24T15:50:00Z</dcterms:created>
  <dc:creator>EPSA Staff</dc:creator>
  <dc:description/>
  <dc:language>en-CA</dc:language>
  <cp:lastModifiedBy>Valued Gateway Client</cp:lastModifiedBy>
  <cp:lastPrinted>2001-11-19T16:57:00Z</cp:lastPrinted>
  <dcterms:modified xsi:type="dcterms:W3CDTF">2001-11-19T20:20:00Z</dcterms:modified>
  <cp:revision>18</cp:revision>
  <dc:subject/>
  <dc:title>UNITED STATES OF AMERICA</dc:title>
</cp:coreProperties>
</file>