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 OF AMERICA</w:t>
      </w:r>
    </w:p>
    <w:p>
      <w:pPr>
        <w:pStyle w:val="Normal"/>
        <w:jc w:val="center"/>
        <w:rPr>
          <w:rFonts w:ascii="Arial" w:hAnsi="Arial" w:cs="Arial"/>
          <w:sz w:val="24"/>
        </w:rPr>
      </w:pPr>
      <w:r>
        <w:rPr>
          <w:rFonts w:cs="Arial" w:ascii="Arial" w:hAnsi="Arial"/>
          <w:sz w:val="24"/>
        </w:rPr>
        <w:t>BEFORE THE</w:t>
      </w:r>
    </w:p>
    <w:p>
      <w:pPr>
        <w:pStyle w:val="Normal"/>
        <w:jc w:val="center"/>
        <w:rPr>
          <w:rFonts w:ascii="Arial" w:hAnsi="Arial" w:cs="Arial"/>
          <w:sz w:val="24"/>
        </w:rPr>
      </w:pPr>
      <w:r>
        <w:rPr>
          <w:rFonts w:cs="Arial" w:ascii="Arial" w:hAnsi="Arial"/>
          <w:sz w:val="24"/>
        </w:rPr>
        <w:t>FEDERAL ENERGY REGULATORY COMMISSION</w:t>
      </w:r>
    </w:p>
    <w:p>
      <w:pPr>
        <w:pStyle w:val="Normal"/>
        <w:jc w:val="center"/>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________________________________</w:t>
      </w:r>
    </w:p>
    <w:p>
      <w:pPr>
        <w:pStyle w:val="Normal"/>
        <w:rPr>
          <w:rFonts w:ascii="Arial" w:hAnsi="Arial" w:cs="Arial"/>
          <w:sz w:val="24"/>
        </w:rPr>
      </w:pPr>
      <w:r>
        <w:rPr>
          <w:rFonts w:cs="Arial" w:ascii="Arial" w:hAnsi="Arial"/>
          <w:sz w:val="24"/>
        </w:rPr>
        <w:tab/>
        <w:tab/>
        <w:tab/>
        <w:tab/>
        <w:tab/>
        <w:tab/>
        <w:tab/>
        <w:t xml:space="preserve">) </w:t>
      </w:r>
    </w:p>
    <w:p>
      <w:pPr>
        <w:pStyle w:val="Heading1"/>
        <w:ind w:hanging="0" w:start="0"/>
        <w:jc w:val="start"/>
        <w:rPr>
          <w:b w:val="false"/>
          <w:u w:val="none"/>
        </w:rPr>
      </w:pPr>
      <w:r>
        <w:rPr>
          <w:b w:val="false"/>
          <w:u w:val="none"/>
        </w:rPr>
        <w:tab/>
        <w:tab/>
        <w:tab/>
        <w:tab/>
        <w:tab/>
        <w:tab/>
        <w:tab/>
        <w:t>)</w:t>
      </w:r>
    </w:p>
    <w:p>
      <w:pPr>
        <w:pStyle w:val="Heading1"/>
        <w:ind w:hanging="0" w:start="0"/>
        <w:jc w:val="start"/>
        <w:rPr/>
      </w:pPr>
      <w:r>
        <w:rPr>
          <w:b w:val="false"/>
          <w:u w:val="none"/>
        </w:rPr>
        <w:t xml:space="preserve">Alliant Energy Services, Inc. </w:t>
      </w:r>
      <w:r>
        <w:rPr>
          <w:b w:val="false"/>
          <w:i/>
          <w:u w:val="none"/>
        </w:rPr>
        <w:t>et al.</w:t>
        <w:tab/>
        <w:tab/>
      </w:r>
      <w:r>
        <w:rPr>
          <w:b w:val="false"/>
          <w:u w:val="none"/>
        </w:rPr>
        <w:tab/>
        <w:t>)</w:t>
        <w:tab/>
        <w:t>Docket Nos. ER01-3154-000</w:t>
      </w:r>
    </w:p>
    <w:p>
      <w:pPr>
        <w:pStyle w:val="Normal"/>
        <w:rPr>
          <w:rFonts w:ascii="Arial" w:hAnsi="Arial" w:cs="Arial"/>
          <w:sz w:val="24"/>
        </w:rPr>
      </w:pPr>
      <w:r>
        <w:rPr>
          <w:rFonts w:cs="Arial" w:ascii="Arial" w:hAnsi="Arial"/>
          <w:sz w:val="24"/>
        </w:rPr>
        <w:tab/>
        <w:tab/>
        <w:tab/>
        <w:tab/>
        <w:tab/>
        <w:tab/>
        <w:tab/>
        <w:t>)</w:t>
        <w:tab/>
        <w:tab/>
        <w:t xml:space="preserve">     and EC01-156-000</w:t>
      </w:r>
    </w:p>
    <w:p>
      <w:pPr>
        <w:pStyle w:val="BodyText2"/>
        <w:spacing w:lineRule="auto" w:line="240"/>
        <w:rPr>
          <w:rFonts w:ascii="Times New Roman" w:hAnsi="Times New Roman" w:cs="Times New Roman"/>
        </w:rPr>
      </w:pPr>
      <w:r>
        <w:rPr>
          <w:rFonts w:cs="Times New Roman" w:ascii="Times New Roman" w:hAnsi="Times New Roman"/>
        </w:rPr>
        <w:t>____________________________________            )</w:t>
      </w:r>
    </w:p>
    <w:p>
      <w:pPr>
        <w:pStyle w:val="Heading1"/>
        <w:ind w:hanging="0" w:start="0"/>
        <w:jc w:val="start"/>
        <w:rPr>
          <w:rFonts w:ascii="Times New Roman" w:hAnsi="Times New Roman" w:cs="Times New Roman"/>
          <w:caps/>
        </w:rPr>
      </w:pPr>
      <w:r>
        <w:rPr>
          <w:rFonts w:cs="Times New Roman" w:ascii="Times New Roman" w:hAnsi="Times New Roman"/>
          <w:caps/>
        </w:rPr>
      </w:r>
    </w:p>
    <w:p>
      <w:pPr>
        <w:pStyle w:val="Normal"/>
        <w:jc w:val="center"/>
        <w:rPr>
          <w:rFonts w:ascii="Arial" w:hAnsi="Arial" w:cs="Arial"/>
          <w:caps/>
          <w:sz w:val="24"/>
          <w:u w:val="single"/>
        </w:rPr>
      </w:pPr>
      <w:r>
        <w:rPr>
          <w:rFonts w:cs="Arial" w:ascii="Arial" w:hAnsi="Arial"/>
          <w:caps/>
          <w:sz w:val="24"/>
          <w:u w:val="single"/>
        </w:rPr>
      </w:r>
    </w:p>
    <w:p>
      <w:pPr>
        <w:pStyle w:val="Heading1"/>
        <w:ind w:hanging="0" w:start="0"/>
        <w:rPr>
          <w:caps/>
        </w:rPr>
      </w:pPr>
      <w:r>
        <w:rPr>
          <w:caps/>
          <w:u w:val="none"/>
        </w:rPr>
        <w:t xml:space="preserve">MOTION for LEAVE TO INTERVENE AND COMMENTS </w:t>
        <w:br/>
        <w:t>of the electric power supply association</w:t>
      </w:r>
    </w:p>
    <w:p>
      <w:pPr>
        <w:pStyle w:val="Normal"/>
        <w:jc w:val="center"/>
        <w:rPr>
          <w:rFonts w:ascii="Arial" w:hAnsi="Arial" w:cs="Arial"/>
          <w:caps/>
          <w:sz w:val="24"/>
          <w:u w:val="single"/>
        </w:rPr>
      </w:pPr>
      <w:r>
        <w:rPr>
          <w:rFonts w:cs="Arial" w:ascii="Arial" w:hAnsi="Arial"/>
          <w:caps/>
          <w:sz w:val="24"/>
          <w:u w:val="single"/>
        </w:rPr>
      </w:r>
    </w:p>
    <w:p>
      <w:pPr>
        <w:pStyle w:val="BodyTextStyle"/>
        <w:ind w:firstLine="720" w:end="0"/>
        <w:rPr/>
      </w:pPr>
      <w:r>
        <w:rPr>
          <w:rFonts w:cs="Arial" w:ascii="Arial" w:hAnsi="Arial"/>
        </w:rPr>
        <w:t xml:space="preserve">Pursuant to Rules 214 and 212 of the Rules of Practice and Procedure of the Federal Energy Regulatory Commission (FERC or Commission), 18 C.F.R. §§ 214 and 212, the Electric Power Supply Association (EPSA) hereby moves for leave to intervene and comments </w:t>
      </w:r>
      <w:r>
        <mc:AlternateContent>
          <mc:Choice Requires="wps">
            <w:drawing>
              <wp:anchor behindDoc="0" distT="0" distB="0" distL="114935" distR="114935" simplePos="0" locked="0" layoutInCell="1" allowOverlap="1" relativeHeight="11">
                <wp:simplePos x="0" y="0"/>
                <wp:positionH relativeFrom="column">
                  <wp:posOffset>-822960</wp:posOffset>
                </wp:positionH>
                <wp:positionV relativeFrom="paragraph">
                  <wp:posOffset>635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rFonts w:cs="Arial" w:ascii="Arial" w:hAnsi="Arial"/>
        </w:rPr>
        <w:t xml:space="preserve">in the above-captioned proceeding. </w:t>
      </w:r>
    </w:p>
    <w:p>
      <w:pPr>
        <w:pStyle w:val="BodyTextStyle"/>
        <w:spacing w:lineRule="auto" w:line="240"/>
        <w:ind w:firstLine="720" w:end="0"/>
        <w:rPr>
          <w:rFonts w:ascii="Arial" w:hAnsi="Arial" w:cs="Arial"/>
        </w:rPr>
      </w:pPr>
      <w:r>
        <w:rPr>
          <w:rFonts w:cs="Arial" w:ascii="Arial" w:hAnsi="Arial"/>
        </w:rPr>
      </w:r>
    </w:p>
    <w:p>
      <w:pPr>
        <w:pStyle w:val="BodyTextStyle"/>
        <w:ind w:hanging="0" w:end="0"/>
        <w:jc w:val="center"/>
        <w:rPr>
          <w:rFonts w:ascii="Arial" w:hAnsi="Arial" w:cs="Arial"/>
          <w:b/>
        </w:rPr>
      </w:pPr>
      <w:r>
        <w:rPr>
          <w:rFonts w:cs="Arial" w:ascii="Arial" w:hAnsi="Arial"/>
          <w:b/>
        </w:rPr>
        <w:t>I.</w:t>
      </w:r>
    </w:p>
    <w:p>
      <w:pPr>
        <w:pStyle w:val="BodyTextStyle"/>
        <w:spacing w:lineRule="auto" w:line="240"/>
        <w:ind w:hanging="0" w:end="0"/>
        <w:rPr>
          <w:rFonts w:ascii="Arial" w:hAnsi="Arial" w:cs="Arial"/>
          <w:b/>
        </w:rPr>
      </w:pPr>
      <w:r>
        <w:rPr>
          <w:rFonts w:cs="Arial" w:ascii="Arial" w:hAnsi="Arial"/>
          <w:b/>
        </w:rPr>
      </w:r>
    </w:p>
    <w:p>
      <w:pPr>
        <w:pStyle w:val="BodyTextStyle"/>
        <w:spacing w:lineRule="auto" w:line="480"/>
        <w:rPr/>
      </w:pPr>
      <w:r>
        <w:rPr>
          <w:rFonts w:cs="Arial" w:ascii="Arial" w:hAnsi="Arial"/>
        </w:rPr>
        <w:t>Pursuant to Sections 203 and 205 of the Federal Power Act, the TRANSLink Participants</w:t>
      </w:r>
      <w:r>
        <w:rPr>
          <w:rStyle w:val="FootnoteCharacters"/>
          <w:rStyle w:val="FootnoteReference"/>
          <w:rFonts w:cs="Arial" w:ascii="Arial" w:hAnsi="Arial"/>
        </w:rPr>
        <w:footnoteReference w:id="2"/>
      </w:r>
      <w:r>
        <w:rPr>
          <w:rFonts w:cs="Arial" w:ascii="Arial" w:hAnsi="Arial"/>
        </w:rPr>
        <w:t xml:space="preserve"> filed a proposal to form an independent transmission company (ITC), TRANSLink Transmission Company LLC (TRANSLink), that will function as an ITC through which parties committing transmission assets may participate in one or more regional transmission organizations (RTOs).  By a Notice issued October 5, 2001, the Commission set October 29, 2001 as the deadline for timely interventions and protests in this proceeding. </w:t>
      </w:r>
    </w:p>
    <w:p>
      <w:pPr>
        <w:pStyle w:val="BodyTextStyle"/>
        <w:spacing w:lineRule="auto" w:line="480"/>
        <w:ind w:firstLine="720" w:end="0"/>
        <w:rPr/>
      </w:pPr>
      <w:r>
        <w:rPr>
          <w:rFonts w:cs="Arial" w:ascii="Arial" w:hAnsi="Arial"/>
        </w:rPr>
        <w:t>EPSA is the national trade association representing competitive power suppliers, including independent power producers, merchant generators and power marketers.  EPSA members provide reliable, competitively priced electricity from environmentally responsible facilities in U.S. and global power markets.  EPSA seeks to bring the benefits of competition to all power customers.</w:t>
      </w:r>
      <w:r>
        <w:rPr>
          <w:rStyle w:val="FootnoteCharacters"/>
          <w:rStyle w:val="FootnoteReference"/>
          <w:rFonts w:cs="Arial" w:ascii="Arial" w:hAnsi="Arial"/>
        </w:rPr>
        <w:footnoteReference w:id="3"/>
      </w:r>
      <w:r>
        <w:rPr>
          <w:rFonts w:cs="Arial" w:ascii="Arial" w:hAnsi="Arial"/>
        </w:rPr>
        <w:t xml:space="preserve">  Many EPSA members are Participants in the Midwest markets, do business, and own, operate and construct generation facilities in the region, which includes the service areas of the Midwest Independent System Operator (MISO), the Southwest Power Pool (SPP), Desert STAR RTO and the Alliance RTO (ARTO), and will be affected by the ITC proposal outlined in this docket.  EPSA’s interest in this proceeding, therefore, cannot adequately be represented by any single party.</w:t>
      </w:r>
    </w:p>
    <w:p>
      <w:pPr>
        <w:pStyle w:val="BodyTextStyle"/>
        <w:spacing w:lineRule="auto" w:line="480"/>
        <w:ind w:hanging="0" w:end="0"/>
        <w:jc w:val="center"/>
        <w:rPr>
          <w:rFonts w:ascii="Arial" w:hAnsi="Arial" w:cs="Arial"/>
          <w:b/>
        </w:rPr>
      </w:pPr>
      <w:r>
        <w:rPr>
          <w:rFonts w:cs="Arial" w:ascii="Arial" w:hAnsi="Arial"/>
          <w:b/>
        </w:rPr>
        <w:t>II.</w:t>
      </w:r>
    </w:p>
    <w:p>
      <w:pPr>
        <w:pStyle w:val="BodyTextStyle"/>
        <w:spacing w:lineRule="auto" w:line="480"/>
        <w:rPr>
          <w:rFonts w:ascii="Arial" w:hAnsi="Arial" w:cs="Arial"/>
        </w:rPr>
      </w:pPr>
      <w:r>
        <w:rPr>
          <w:rFonts w:cs="Arial" w:ascii="Arial" w:hAnsi="Arial"/>
        </w:rPr>
        <w:t>All pleadings, correspondence and other communications concerning the docket should be directed to:</w:t>
      </w:r>
    </w:p>
    <w:p>
      <w:pPr>
        <w:pStyle w:val="Heading2"/>
        <w:ind w:start="720" w:end="0"/>
        <w:rPr>
          <w:rFonts w:ascii="Arial" w:hAnsi="Arial" w:cs="Arial"/>
        </w:rPr>
      </w:pPr>
      <w:r>
        <w:rPr>
          <w:rFonts w:cs="Arial"/>
        </w:rPr>
      </w:r>
    </w:p>
    <w:p>
      <w:pPr>
        <w:pStyle w:val="Heading2"/>
        <w:ind w:firstLine="720" w:start="0" w:end="0"/>
        <w:rPr/>
      </w:pPr>
      <w:r>
        <w:rPr/>
        <w:t>Julie Simon, Vice President of Policy</w:t>
      </w:r>
    </w:p>
    <w:p>
      <w:pPr>
        <w:pStyle w:val="Heading2"/>
        <w:ind w:start="720" w:end="0"/>
        <w:rPr/>
      </w:pPr>
      <w:r>
        <w:rPr/>
        <w:t>Erin Perrigo, Manager of Policy</w:t>
        <w:tab/>
        <w:tab/>
      </w:r>
    </w:p>
    <w:p>
      <w:pPr>
        <w:pStyle w:val="Heading3"/>
        <w:ind w:hanging="0" w:start="0"/>
        <w:rPr/>
      </w:pPr>
      <w:r>
        <w:rPr/>
        <w:tab/>
        <w:t>Electric Power Supply Association</w:t>
        <w:tab/>
        <w:tab/>
      </w:r>
    </w:p>
    <w:p>
      <w:pPr>
        <w:pStyle w:val="Normal"/>
        <w:ind w:firstLine="720" w:end="-630"/>
        <w:rPr/>
      </w:pPr>
      <w:r>
        <w:rPr>
          <w:rFonts w:cs="Arial" w:ascii="Arial" w:hAnsi="Arial"/>
          <w:sz w:val="24"/>
        </w:rPr>
        <w:t>1401 New York Ave., N.W., 11</w:t>
      </w:r>
      <w:r>
        <w:rPr>
          <w:rFonts w:cs="Arial" w:ascii="Arial" w:hAnsi="Arial"/>
          <w:sz w:val="24"/>
          <w:vertAlign w:val="superscript"/>
        </w:rPr>
        <w:t>th</w:t>
      </w:r>
      <w:r>
        <w:rPr>
          <w:rFonts w:cs="Arial" w:ascii="Arial" w:hAnsi="Arial"/>
          <w:sz w:val="24"/>
        </w:rPr>
        <w:t xml:space="preserve"> Floor</w:t>
        <w:tab/>
        <w:tab/>
      </w:r>
    </w:p>
    <w:p>
      <w:pPr>
        <w:pStyle w:val="Normal"/>
        <w:rPr>
          <w:rFonts w:ascii="Arial" w:hAnsi="Arial" w:cs="Arial"/>
          <w:sz w:val="24"/>
        </w:rPr>
      </w:pPr>
      <w:r>
        <w:rPr>
          <w:rFonts w:cs="Arial" w:ascii="Arial" w:hAnsi="Arial"/>
          <w:sz w:val="24"/>
        </w:rPr>
        <w:tab/>
        <w:t>Washington, D.C. 20005</w:t>
        <w:tab/>
        <w:tab/>
        <w:tab/>
        <w:tab/>
      </w:r>
    </w:p>
    <w:p>
      <w:pPr>
        <w:pStyle w:val="Normal"/>
        <w:ind w:firstLine="720" w:end="0"/>
        <w:rPr>
          <w:rFonts w:ascii="Arial" w:hAnsi="Arial" w:cs="Arial"/>
          <w:sz w:val="24"/>
        </w:rPr>
      </w:pPr>
      <w:r>
        <w:rPr>
          <w:rFonts w:cs="Arial" w:ascii="Arial" w:hAnsi="Arial"/>
          <w:sz w:val="24"/>
        </w:rPr>
        <w:t>Tel:</w:t>
        <w:tab/>
        <w:t>202-628-8200</w:t>
        <w:tab/>
        <w:tab/>
        <w:tab/>
      </w:r>
    </w:p>
    <w:p>
      <w:pPr>
        <w:pStyle w:val="BodyTextStyle"/>
        <w:spacing w:lineRule="auto" w:line="240"/>
        <w:ind w:firstLine="720" w:end="0"/>
        <w:rPr>
          <w:rFonts w:ascii="Arial" w:hAnsi="Arial" w:cs="Arial"/>
        </w:rPr>
      </w:pPr>
      <w:r>
        <w:rPr>
          <w:rFonts w:cs="Arial" w:ascii="Arial" w:hAnsi="Arial"/>
        </w:rPr>
        <w:t>Fax:</w:t>
        <w:tab/>
        <w:t>202-628-8260</w:t>
      </w:r>
    </w:p>
    <w:p>
      <w:pPr>
        <w:pStyle w:val="BodyTextStyle"/>
        <w:spacing w:lineRule="auto" w:line="240"/>
        <w:ind w:firstLine="720" w:end="0"/>
        <w:rPr>
          <w:rFonts w:ascii="Arial" w:hAnsi="Arial" w:cs="Arial"/>
        </w:rPr>
      </w:pPr>
      <w:r>
        <w:rPr>
          <w:rFonts w:cs="Arial" w:ascii="Arial" w:hAnsi="Arial"/>
        </w:rPr>
      </w:r>
    </w:p>
    <w:p>
      <w:pPr>
        <w:pStyle w:val="BodyTextStyle"/>
        <w:spacing w:lineRule="auto" w:line="240"/>
        <w:ind w:firstLine="720" w:end="0"/>
        <w:rPr>
          <w:rFonts w:ascii="Arial" w:hAnsi="Arial" w:cs="Arial"/>
        </w:rPr>
      </w:pPr>
      <w:r>
        <w:rPr>
          <w:rFonts w:cs="Arial" w:ascii="Arial" w:hAnsi="Arial"/>
        </w:rPr>
      </w:r>
    </w:p>
    <w:p>
      <w:pPr>
        <w:pStyle w:val="BodyTextStyle"/>
        <w:spacing w:lineRule="auto" w:line="240"/>
        <w:ind w:firstLine="720" w:end="0"/>
        <w:rPr>
          <w:rFonts w:ascii="Arial" w:hAnsi="Arial" w:cs="Arial"/>
        </w:rPr>
      </w:pPr>
      <w:r>
        <w:rPr>
          <w:rFonts w:cs="Arial" w:ascii="Arial" w:hAnsi="Arial"/>
        </w:rPr>
      </w:r>
    </w:p>
    <w:p>
      <w:pPr>
        <w:pStyle w:val="BodyTextStyle"/>
        <w:spacing w:lineRule="auto" w:line="480"/>
        <w:ind w:hanging="0" w:end="0"/>
        <w:jc w:val="center"/>
        <w:rPr>
          <w:rFonts w:ascii="Arial" w:hAnsi="Arial" w:cs="Arial"/>
          <w:b/>
        </w:rPr>
      </w:pPr>
      <w:r>
        <w:rPr>
          <w:rFonts w:cs="Arial" w:ascii="Arial" w:hAnsi="Arial"/>
          <w:b/>
        </w:rPr>
        <w:t>III.</w:t>
      </w:r>
    </w:p>
    <w:p>
      <w:pPr>
        <w:pStyle w:val="BodyTextStyle"/>
        <w:spacing w:lineRule="auto" w:line="480"/>
        <w:ind w:firstLine="720" w:end="0"/>
        <w:rPr/>
      </w:pPr>
      <w:r>
        <w:rPr>
          <w:rFonts w:cs="Arial" w:ascii="Arial" w:hAnsi="Arial"/>
        </w:rPr>
        <w:t xml:space="preserve">In this proceeding, the TRANSLink Participants are proposing to create an ITC that will carry out certain transmission-related functions in cooperation with the MISO. Coupled with the guidance provided in </w:t>
      </w:r>
      <w:r>
        <w:rPr>
          <w:rFonts w:cs="Arial" w:ascii="Arial" w:hAnsi="Arial"/>
          <w:i/>
        </w:rPr>
        <w:t>Commonwealth Edison Co.</w:t>
      </w:r>
      <w:r>
        <w:rPr>
          <w:rFonts w:cs="Arial" w:ascii="Arial" w:hAnsi="Arial"/>
        </w:rPr>
        <w:t>, where the Commission approved the proposed hybrid or “binary” RTO model, the TRANSLink Participants ask the Commission to find that their proposal meets the minimum requirements of Order No. 2000.</w:t>
      </w:r>
      <w:r>
        <w:rPr>
          <w:rStyle w:val="FootnoteCharacters"/>
          <w:rStyle w:val="FootnoteReference"/>
          <w:rFonts w:cs="Arial" w:ascii="Arial" w:hAnsi="Arial"/>
        </w:rPr>
        <w:footnoteReference w:id="4"/>
      </w:r>
      <w:r>
        <w:rPr>
          <w:rFonts w:cs="Arial" w:ascii="Arial" w:hAnsi="Arial"/>
        </w:rPr>
        <w:t xml:space="preserve">  The TRANSLink Participants have established the fourth quarter of 2002 as the targeted date to commence commercial operations, assuming receipt of the required regulatory approvals, and ask the Commission for expeditious consideration of the filing.</w:t>
      </w:r>
    </w:p>
    <w:p>
      <w:pPr>
        <w:pStyle w:val="BodyTextStyle"/>
        <w:spacing w:lineRule="auto" w:line="480"/>
        <w:ind w:firstLine="720" w:end="0"/>
        <w:rPr>
          <w:rFonts w:ascii="Arial" w:hAnsi="Arial" w:cs="Arial"/>
        </w:rPr>
      </w:pPr>
      <w:r>
        <w:rPr>
          <w:rFonts w:cs="Arial" w:ascii="Arial" w:hAnsi="Arial"/>
        </w:rPr>
        <w:t>While EPSA takes issue with certain aspects of the TRANSLink proposal, we do commend it for its appealing aspects.  Most noteworthy are the inclusion of public power entities (the Public Power and Cooperative Power Participants agree to move their rates under FERC jurisdiction), the expanded geographic scope of the MISO, and finally the inclusion of all transmission service under one tariff.</w:t>
      </w:r>
    </w:p>
    <w:p>
      <w:pPr>
        <w:pStyle w:val="BodyTextStyle"/>
        <w:spacing w:lineRule="auto" w:line="480"/>
        <w:ind w:firstLine="720" w:end="0"/>
        <w:rPr>
          <w:rFonts w:ascii="Arial" w:hAnsi="Arial" w:cs="Arial"/>
        </w:rPr>
      </w:pPr>
      <w:r>
        <w:rPr>
          <w:rFonts w:cs="Arial" w:ascii="Arial" w:hAnsi="Arial"/>
        </w:rPr>
        <w:t xml:space="preserve">As filed, the TRANSLink Participants propose to contract with one or more Commission-approved RTOs to perform certain RTO-required functions, recognizing that the Commission requires TRANSLink to demonstrate that it possesses certain characteristics of an RTO, even though it does not propose to establish TRANSLink as and RTO.  Specifically, EPSA takes issue with TRANSLink’s proposal with respect to independence, tariff administration and design, congestion management, and operational authority. </w:t>
      </w:r>
    </w:p>
    <w:p>
      <w:pPr>
        <w:pStyle w:val="BodyTextStyle"/>
        <w:spacing w:lineRule="auto" w:line="480"/>
        <w:ind w:firstLine="720" w:end="0"/>
        <w:rPr>
          <w:rFonts w:ascii="Arial" w:hAnsi="Arial" w:cs="Arial"/>
          <w:caps/>
        </w:rPr>
      </w:pPr>
      <w:r>
        <w:rPr>
          <w:rFonts w:cs="Arial" w:ascii="Arial" w:hAnsi="Arial"/>
          <w:b/>
          <w:caps/>
        </w:rPr>
        <w:t>Independence</w:t>
        <w:tab/>
      </w:r>
    </w:p>
    <w:p>
      <w:pPr>
        <w:pStyle w:val="BodyTextStyle"/>
        <w:spacing w:lineRule="auto" w:line="480"/>
        <w:ind w:firstLine="720" w:end="0"/>
        <w:rPr>
          <w:rFonts w:ascii="Arial" w:hAnsi="Arial" w:cs="Arial"/>
        </w:rPr>
      </w:pPr>
      <w:r>
        <w:rPr>
          <w:rFonts w:cs="Arial" w:ascii="Arial" w:hAnsi="Arial"/>
        </w:rPr>
        <w:t>The TRANSLink proposal fails to meet the independence requirements established in Order No. 2000.  First, EPSA is concerned with the composition of the Corporate Manger Board and the potential for bias towards transmission owners.  Under the TRANSLink Corporate Manger Board proposal, the Private Power Participants, and the Public Power and Cooperative Participants, respectively, may elect an additional member (in addition to their initial allocation) to the nine-member board.</w:t>
      </w:r>
    </w:p>
    <w:p>
      <w:pPr>
        <w:pStyle w:val="BodyTextStyle"/>
        <w:spacing w:lineRule="auto" w:line="480"/>
        <w:ind w:firstLine="720" w:end="0"/>
        <w:rPr/>
      </w:pPr>
      <w:r>
        <w:rPr>
          <w:rFonts w:cs="Arial" w:ascii="Arial" w:hAnsi="Arial"/>
        </w:rPr>
        <w:t>Order No. 2000 states that “a[n] RTO needs to be independent in both reality and perception.”</w:t>
      </w:r>
      <w:r>
        <w:rPr>
          <w:rStyle w:val="FootnoteCharacters"/>
          <w:rStyle w:val="FootnoteReference"/>
          <w:rFonts w:cs="Arial" w:ascii="Arial" w:hAnsi="Arial"/>
        </w:rPr>
        <w:footnoteReference w:id="5"/>
      </w:r>
      <w:r>
        <w:rPr>
          <w:rFonts w:cs="Arial" w:ascii="Arial" w:hAnsi="Arial"/>
        </w:rPr>
        <w:t xml:space="preserve">  Even though TRANSLink does not purport to be an RTO, it must prove its independence to the Commission.  Blatantly biasing one group of market participants, in this case transmission owners, neither satisfies the reality or perception of independence for the ITC.  The Commission goes on to state that it will have to examine the ownership interests of other proposals [</w:t>
      </w:r>
      <w:r>
        <w:rPr>
          <w:rFonts w:cs="Arial" w:ascii="Arial" w:hAnsi="Arial"/>
          <w:i/>
        </w:rPr>
        <w:t>i.e.,</w:t>
      </w:r>
      <w:r>
        <w:rPr>
          <w:rFonts w:cs="Arial" w:ascii="Arial" w:hAnsi="Arial"/>
        </w:rPr>
        <w:t xml:space="preserve"> transcos] and whether such proposals could affect the independence of the decision making process.</w:t>
      </w:r>
      <w:r>
        <w:rPr>
          <w:rStyle w:val="FootnoteCharacters"/>
          <w:rStyle w:val="FootnoteReference"/>
          <w:rFonts w:cs="Arial" w:ascii="Arial" w:hAnsi="Arial"/>
        </w:rPr>
        <w:footnoteReference w:id="6"/>
      </w:r>
      <w:r>
        <w:rPr>
          <w:rFonts w:cs="Arial" w:ascii="Arial" w:hAnsi="Arial"/>
        </w:rPr>
        <w:t xml:space="preserve">  Such has been the case in other regions of the Midwest—namely, the ARTO—where the incumbent transmission owners have unduly influenced the outcome of the so-called stakeholder process in ARTO development.  As in this case, the Private Power Participants and Public and Cooperative Power Participant groups, respectively, represent parties who are active market participants whose decisions will </w:t>
      </w:r>
      <w:r>
        <w:rPr>
          <w:rFonts w:cs="Arial" w:ascii="Arial" w:hAnsi="Arial"/>
          <w:i/>
        </w:rPr>
        <w:t>directly</w:t>
      </w:r>
      <w:r>
        <w:rPr>
          <w:rFonts w:cs="Arial" w:ascii="Arial" w:hAnsi="Arial"/>
        </w:rPr>
        <w:t xml:space="preserve"> affect the decision making process of the ITC.  This should not be allowed.</w:t>
      </w:r>
    </w:p>
    <w:p>
      <w:pPr>
        <w:pStyle w:val="BodyTextStyle"/>
        <w:spacing w:lineRule="auto" w:line="480"/>
        <w:ind w:firstLine="720" w:end="0"/>
        <w:rPr>
          <w:rFonts w:ascii="Arial" w:hAnsi="Arial" w:cs="Arial"/>
        </w:rPr>
      </w:pPr>
      <w:r>
        <w:rPr>
          <w:rFonts w:cs="Arial" w:ascii="Arial" w:hAnsi="Arial"/>
        </w:rPr>
        <w:t>Second, TRANSLink Participants propose to transfer functional responsibility for their transmission assets to TRANSLink through outright transfer of ownership or through leases or operative agreements.  In other words, the entities are not required to physically divest their transmission assets, which therefore precludes TRANSLink from being truly independent.  As such, the Commission must not accept leasing arrangements and operational contracts as sufficient assurance that the ITC satisfies the independence requirements.  Similar to the Board composition, failure to truly devise the ITC as an independent entity only promises to play favorites and further distort the market segmentation in the Midwest region.</w:t>
      </w:r>
    </w:p>
    <w:p>
      <w:pPr>
        <w:pStyle w:val="BodyTextStyle"/>
        <w:spacing w:lineRule="auto" w:line="480"/>
        <w:ind w:firstLine="720" w:end="0"/>
        <w:rPr>
          <w:rFonts w:ascii="Arial" w:hAnsi="Arial" w:cs="Arial"/>
          <w:b/>
          <w:caps/>
        </w:rPr>
      </w:pPr>
      <w:r>
        <w:rPr>
          <w:rFonts w:cs="Arial" w:ascii="Arial" w:hAnsi="Arial"/>
          <w:b/>
          <w:caps/>
        </w:rPr>
        <w:t>Tariff Administration</w:t>
      </w:r>
    </w:p>
    <w:p>
      <w:pPr>
        <w:pStyle w:val="BodyTextStyle"/>
        <w:spacing w:lineRule="auto" w:line="480"/>
        <w:ind w:firstLine="720" w:end="0"/>
        <w:rPr/>
      </w:pPr>
      <w:r>
        <w:rPr>
          <w:rFonts w:cs="Arial" w:ascii="Arial" w:hAnsi="Arial"/>
        </w:rPr>
        <w:t>The Commission should not facilitate the further fragmentation and balkanization of the Midwest markets by allowing TRANSLink to offer its own open access transmission tariff, including all future rate design proposals, even though it is proposed to operate in seamless integration with the MISO Tariff.</w:t>
      </w:r>
      <w:r>
        <w:rPr>
          <w:rStyle w:val="FootnoteCharacters"/>
          <w:rStyle w:val="FootnoteReference"/>
          <w:rFonts w:cs="Arial" w:ascii="Arial" w:hAnsi="Arial"/>
        </w:rPr>
        <w:footnoteReference w:id="7"/>
      </w:r>
      <w:r>
        <w:rPr>
          <w:rFonts w:cs="Arial" w:ascii="Arial" w:hAnsi="Arial"/>
        </w:rPr>
        <w:t xml:space="preserve">  The proposal goes on to note that,  “TRANSLink will have the exclusive authority to make filings under §205 of the FPA as needed, including proposals regarding performance-based or incentive rates.”</w:t>
      </w:r>
      <w:r>
        <w:rPr>
          <w:rStyle w:val="FootnoteCharacters"/>
          <w:rStyle w:val="FootnoteReference"/>
          <w:rFonts w:cs="Arial" w:ascii="Arial" w:hAnsi="Arial"/>
        </w:rPr>
        <w:footnoteReference w:id="8"/>
      </w:r>
      <w:r>
        <w:rPr>
          <w:rFonts w:cs="Arial" w:ascii="Arial" w:hAnsi="Arial"/>
        </w:rPr>
        <w:t xml:space="preserve">  </w:t>
      </w:r>
    </w:p>
    <w:p>
      <w:pPr>
        <w:pStyle w:val="BodyTextStyle"/>
        <w:spacing w:lineRule="auto" w:line="480"/>
        <w:ind w:firstLine="720" w:end="0"/>
        <w:rPr>
          <w:rFonts w:ascii="Arial" w:hAnsi="Arial" w:cs="Arial"/>
        </w:rPr>
      </w:pPr>
      <w:r>
        <w:rPr>
          <w:rFonts w:cs="Arial" w:ascii="Arial" w:hAnsi="Arial"/>
        </w:rPr>
        <w:t xml:space="preserve">Order No. 2000 cannot be misconstrued.  It plainly requires that: </w:t>
      </w:r>
    </w:p>
    <w:p>
      <w:pPr>
        <w:pStyle w:val="BodyTextStyle"/>
        <w:spacing w:lineRule="auto" w:line="240"/>
        <w:ind w:hanging="0" w:start="720" w:end="0"/>
        <w:rPr>
          <w:rFonts w:ascii="Arial" w:hAnsi="Arial" w:cs="Arial"/>
        </w:rPr>
      </w:pPr>
      <w:r>
        <w:rPr>
          <w:rFonts w:cs="Arial" w:ascii="Arial" w:hAnsi="Arial"/>
        </w:rPr>
        <w:t>The RTO be the sole provider of transmission service and sole administrator of its own open access tariff…with this, customers have nondiscriminatory and uniform access to regional transmission facilities.  This type of access cannot be assured if customers are required to deal with several transmission owners with differing tariff terms and conditions.</w:t>
      </w:r>
      <w:r>
        <w:rPr>
          <w:rStyle w:val="FootnoteCharacters"/>
          <w:rStyle w:val="FootnoteReference"/>
          <w:rFonts w:cs="Arial" w:ascii="Arial" w:hAnsi="Arial"/>
        </w:rPr>
        <w:footnoteReference w:id="9"/>
      </w:r>
    </w:p>
    <w:p>
      <w:pPr>
        <w:pStyle w:val="BodyTextStyle"/>
        <w:spacing w:lineRule="auto" w:line="240"/>
        <w:ind w:hanging="0" w:start="720" w:end="0"/>
        <w:rPr>
          <w:rFonts w:ascii="Arial" w:hAnsi="Arial" w:cs="Arial"/>
        </w:rPr>
      </w:pPr>
      <w:r>
        <w:rPr>
          <w:rFonts w:cs="Arial" w:ascii="Arial" w:hAnsi="Arial"/>
        </w:rPr>
      </w:r>
    </w:p>
    <w:p>
      <w:pPr>
        <w:pStyle w:val="BodyTextStyle"/>
        <w:spacing w:lineRule="auto" w:line="480"/>
        <w:ind w:firstLine="720" w:end="0"/>
        <w:rPr>
          <w:rFonts w:ascii="Arial" w:hAnsi="Arial" w:cs="Arial"/>
        </w:rPr>
      </w:pPr>
      <w:r>
        <w:rPr>
          <w:rFonts w:cs="Arial" w:ascii="Arial" w:hAnsi="Arial"/>
        </w:rPr>
        <w:t>If the Commission feels it acceptable to allow separate tariffs for the MISO, ARTO, now TRANSLink, and any other organizational entity that files an open access transmission tariff (OATT), it may as well abandon its current effort to facilitate seamless, or most recently, standardized, market designs across regions.</w:t>
      </w:r>
    </w:p>
    <w:p>
      <w:pPr>
        <w:pStyle w:val="BodyTextStyle"/>
        <w:spacing w:lineRule="auto" w:line="480"/>
        <w:ind w:firstLine="720" w:end="0"/>
        <w:rPr>
          <w:rFonts w:ascii="Arial" w:hAnsi="Arial" w:cs="Arial"/>
          <w:caps/>
        </w:rPr>
      </w:pPr>
      <w:r>
        <w:rPr>
          <w:rFonts w:cs="Arial" w:ascii="Arial" w:hAnsi="Arial"/>
          <w:b/>
          <w:caps/>
        </w:rPr>
        <w:t>Congestion Management</w:t>
      </w:r>
    </w:p>
    <w:p>
      <w:pPr>
        <w:pStyle w:val="BodyTextStyle"/>
        <w:spacing w:lineRule="auto" w:line="480"/>
        <w:ind w:firstLine="720" w:end="0"/>
        <w:rPr>
          <w:rFonts w:ascii="Arial" w:hAnsi="Arial" w:cs="Arial"/>
        </w:rPr>
      </w:pPr>
      <w:r>
        <w:rPr>
          <w:rFonts w:cs="Arial" w:ascii="Arial" w:hAnsi="Arial"/>
        </w:rPr>
        <w:t>The Commission must not approve another different congestion management approach in the Midwest market.  As presented, the TRANSLink congestion management proposal is not consistent with Order No.  2000, which requires that congestion management be performed at a regional level.  Furthermore, the TRANSLink filing contains a number of holes that should be of concern to the Commission.  For example, the details of how Day One congestion management will work in conjunction with the MISO congestion management Day One protocols are not solidified, and the details pertaining to Day Two are all but nonexistent.  Based on this information, or lack thereof, EPSA strongly urges the Commission to not approve TRANSLink’s proposal.  Allowing the ITC to develop its own congestion management system would undermine one of the most important functions of an RTO – an entity that is better suited to perform this function efficiently.</w:t>
      </w:r>
    </w:p>
    <w:p>
      <w:pPr>
        <w:pStyle w:val="BodyTextStyle"/>
        <w:spacing w:lineRule="auto" w:line="480"/>
        <w:ind w:firstLine="720" w:end="0"/>
        <w:rPr>
          <w:rFonts w:ascii="Arial" w:hAnsi="Arial" w:cs="Arial"/>
          <w:caps/>
        </w:rPr>
      </w:pPr>
      <w:r>
        <w:rPr>
          <w:rFonts w:cs="Arial" w:ascii="Arial" w:hAnsi="Arial"/>
          <w:b/>
          <w:caps/>
        </w:rPr>
        <w:t>Other considerations</w:t>
      </w:r>
    </w:p>
    <w:p>
      <w:pPr>
        <w:pStyle w:val="BodyTextStyle"/>
        <w:spacing w:lineRule="auto" w:line="480"/>
        <w:ind w:firstLine="720" w:end="0"/>
        <w:rPr>
          <w:rFonts w:ascii="Arial" w:hAnsi="Arial" w:cs="Arial"/>
        </w:rPr>
      </w:pPr>
      <w:r>
        <w:rPr>
          <w:rFonts w:cs="Arial" w:ascii="Arial" w:hAnsi="Arial"/>
        </w:rPr>
        <w:t>The TRANSLink filing contains a number of other additional proposals that EPSA finds worrisome.  In particular:</w:t>
      </w:r>
    </w:p>
    <w:p>
      <w:pPr>
        <w:pStyle w:val="BodyTextStyle"/>
        <w:numPr>
          <w:ilvl w:val="0"/>
          <w:numId w:val="2"/>
        </w:numPr>
        <w:tabs>
          <w:tab w:val="clear" w:pos="720"/>
          <w:tab w:val="left" w:pos="1080" w:leader="none"/>
        </w:tabs>
        <w:spacing w:lineRule="auto" w:line="480"/>
        <w:ind w:hanging="360" w:start="1080" w:end="0"/>
        <w:rPr>
          <w:rFonts w:ascii="Arial" w:hAnsi="Arial" w:cs="Arial"/>
        </w:rPr>
      </w:pPr>
      <w:r>
        <w:rPr>
          <w:rFonts w:cs="Arial" w:ascii="Arial" w:hAnsi="Arial"/>
          <w:b/>
        </w:rPr>
        <w:t>Operational Authority</w:t>
      </w:r>
      <w:r>
        <w:rPr>
          <w:rFonts w:cs="Arial" w:ascii="Arial" w:hAnsi="Arial"/>
        </w:rPr>
        <w:t xml:space="preserve"> – As proposed, TRANSLink will exercise functional responsibility for the operation of the participating transmission systems.  Non-jurisdictional entities, however, will retain the authority to exercise direct control of transmission operation, as well as monitor and control real and reactive power flows and voltage levels.  This is directly contrary to Order No. 2000, which states that “the RTO must have operational authority for all transmission facilities under its control and also must be the security coordinator for its region.”</w:t>
      </w:r>
      <w:r>
        <w:rPr>
          <w:rStyle w:val="FootnoteCharacters"/>
          <w:rStyle w:val="FootnoteReference"/>
          <w:rFonts w:cs="Arial" w:ascii="Arial" w:hAnsi="Arial"/>
        </w:rPr>
        <w:footnoteReference w:id="10"/>
      </w:r>
    </w:p>
    <w:p>
      <w:pPr>
        <w:pStyle w:val="BodyTextStyle"/>
        <w:numPr>
          <w:ilvl w:val="0"/>
          <w:numId w:val="2"/>
        </w:numPr>
        <w:tabs>
          <w:tab w:val="clear" w:pos="720"/>
          <w:tab w:val="left" w:pos="1080" w:leader="none"/>
        </w:tabs>
        <w:spacing w:lineRule="auto" w:line="480"/>
        <w:ind w:hanging="360" w:start="1080" w:end="0"/>
        <w:rPr>
          <w:rFonts w:ascii="Arial" w:hAnsi="Arial" w:cs="Arial"/>
          <w:b/>
        </w:rPr>
      </w:pPr>
      <w:r>
        <w:rPr>
          <w:rFonts w:cs="Arial" w:ascii="Arial" w:hAnsi="Arial"/>
          <w:b/>
        </w:rPr>
        <w:t>Ancillary Services</w:t>
      </w:r>
      <w:r>
        <w:rPr>
          <w:rFonts w:cs="Arial" w:ascii="Arial" w:hAnsi="Arial"/>
        </w:rPr>
        <w:t xml:space="preserve"> – TRANSLink proposes to function as the provider of last resort for ancillary services, as well as provide a number of other ancillary services in conjunction to the MISO.  EPSA maintains that assigning the ITC as supplier of last resort is inconsistent with Order No. 2000.  Moreover, it is more efficient for a large regional entity, in this case the MISO, to supply such services.  Approving the TRANSLink proposal would certainly undermine the MISO’s ancillary services markets.</w:t>
      </w:r>
    </w:p>
    <w:p>
      <w:pPr>
        <w:pStyle w:val="BodyTextStyle"/>
        <w:numPr>
          <w:ilvl w:val="0"/>
          <w:numId w:val="2"/>
        </w:numPr>
        <w:tabs>
          <w:tab w:val="clear" w:pos="720"/>
          <w:tab w:val="left" w:pos="1080" w:leader="none"/>
        </w:tabs>
        <w:spacing w:lineRule="auto" w:line="480"/>
        <w:ind w:hanging="360" w:start="1080" w:end="0"/>
        <w:rPr>
          <w:rFonts w:ascii="Arial" w:hAnsi="Arial" w:cs="Arial"/>
        </w:rPr>
      </w:pPr>
      <w:r>
        <w:rPr>
          <w:rFonts w:cs="Arial" w:ascii="Arial" w:hAnsi="Arial"/>
          <w:b/>
        </w:rPr>
        <w:t>Planning and Expansion</w:t>
      </w:r>
      <w:r>
        <w:rPr>
          <w:rFonts w:cs="Arial" w:ascii="Arial" w:hAnsi="Arial"/>
        </w:rPr>
        <w:t xml:space="preserve"> – TRANSLink proposes to be responsible for planning on its system as well as physical construction of new facilities, and announces its plans to coordinate with the MISO in this process.  In </w:t>
      </w:r>
      <w:r>
        <w:rPr>
          <w:rFonts w:cs="Arial" w:ascii="Arial" w:hAnsi="Arial"/>
          <w:i/>
        </w:rPr>
        <w:t>Commonwealth Edison Co.</w:t>
      </w:r>
      <w:r>
        <w:rPr>
          <w:rFonts w:cs="Arial" w:ascii="Arial" w:hAnsi="Arial"/>
        </w:rPr>
        <w:t xml:space="preserve"> the Commission recognized that the “dual responsibilities” of the ITC and the MISO for planning and expansion may satisfy the requirements of Order No. 2000.  While EPSA recognizes that entities may attempt to satisfy the Commission’s requirements on paper, the responsibility for planning and expansion should ultimately be held to the RTO in order to provide efficient, reliable, non-discriminatory transmission service to the region’s customers.</w:t>
      </w:r>
    </w:p>
    <w:p>
      <w:pPr>
        <w:pStyle w:val="BodyTextStyle"/>
        <w:spacing w:lineRule="auto" w:line="240"/>
        <w:ind w:hanging="0" w:start="720" w:end="0"/>
        <w:jc w:val="center"/>
        <w:rPr>
          <w:rFonts w:ascii="Arial" w:hAnsi="Arial" w:cs="Arial"/>
          <w:b/>
        </w:rPr>
      </w:pPr>
      <w:r>
        <w:rPr>
          <w:rFonts w:cs="Arial" w:ascii="Arial" w:hAnsi="Arial"/>
          <w:b/>
        </w:rPr>
        <w:t>IV.</w:t>
      </w:r>
    </w:p>
    <w:p>
      <w:pPr>
        <w:pStyle w:val="BodyTextStyle"/>
        <w:ind w:firstLine="720" w:end="0"/>
        <w:rPr>
          <w:rFonts w:ascii="Arial" w:hAnsi="Arial" w:cs="Arial"/>
          <w:b/>
        </w:rPr>
      </w:pPr>
      <w:r>
        <w:rPr>
          <w:rFonts w:cs="Arial" w:ascii="Arial" w:hAnsi="Arial"/>
          <w:b/>
        </w:rPr>
      </w:r>
    </w:p>
    <w:p>
      <w:pPr>
        <w:pStyle w:val="BodyText2"/>
        <w:ind w:firstLine="720" w:end="0"/>
        <w:rPr/>
      </w:pPr>
      <w:r>
        <w:rPr/>
        <w:t xml:space="preserve">WHEREFORE, EPSA urges the Commission to preclude TRANSLink from performing certain functions that should ultimately and most efficiently be the responsibilities of the RTO.  EPSA respectfully requests leave to intervene in, and become a party to, this proceeding, and to be afforded all rights appropriate to that status. </w:t>
      </w:r>
    </w:p>
    <w:p>
      <w:pPr>
        <w:pStyle w:val="BodyTextStyle"/>
        <w:rPr/>
      </w:pPr>
      <w:r>
        <w:rPr/>
      </w:r>
    </w:p>
    <w:tbl>
      <w:tblPr>
        <w:tblW w:w="10008" w:type="dxa"/>
        <w:jc w:val="start"/>
        <w:tblInd w:w="0" w:type="dxa"/>
        <w:tblLayout w:type="fixed"/>
        <w:tblCellMar>
          <w:top w:w="0" w:type="dxa"/>
          <w:start w:w="108" w:type="dxa"/>
          <w:bottom w:w="0" w:type="dxa"/>
          <w:end w:w="108" w:type="dxa"/>
        </w:tblCellMar>
      </w:tblPr>
      <w:tblGrid>
        <w:gridCol w:w="4878"/>
        <w:gridCol w:w="5130"/>
      </w:tblGrid>
      <w:tr>
        <w:trPr/>
        <w:tc>
          <w:tcPr>
            <w:tcW w:w="4878" w:type="dxa"/>
            <w:tcBorders/>
          </w:tcPr>
          <w:p>
            <w:pPr>
              <w:pStyle w:val="Normal"/>
              <w:spacing w:lineRule="auto" w:line="480"/>
              <w:rPr>
                <w:rFonts w:ascii="Arial" w:hAnsi="Arial" w:cs="Arial"/>
                <w:sz w:val="24"/>
              </w:rPr>
            </w:pPr>
            <w:r>
              <w:rPr>
                <w:rFonts w:cs="Arial" w:ascii="Arial" w:hAnsi="Arial"/>
                <w:sz w:val="24"/>
              </w:rPr>
              <w:t>Dated: October 29, 2001</w:t>
            </w:r>
          </w:p>
        </w:tc>
        <w:tc>
          <w:tcPr>
            <w:tcW w:w="5130" w:type="dxa"/>
            <w:tcBorders/>
          </w:tcPr>
          <w:p>
            <w:pPr>
              <w:pStyle w:val="Normal"/>
              <w:rPr>
                <w:rFonts w:ascii="Arial" w:hAnsi="Arial" w:cs="Arial"/>
                <w:sz w:val="24"/>
              </w:rPr>
            </w:pPr>
            <w:r>
              <w:rPr>
                <w:rFonts w:cs="Arial" w:ascii="Arial" w:hAnsi="Arial"/>
                <w:sz w:val="24"/>
              </w:rPr>
              <w:t>Respectfully submitted,</w:t>
            </w:r>
          </w:p>
          <w:p>
            <w:pPr>
              <w:pStyle w:val="Normal"/>
              <w:rPr>
                <w:rFonts w:ascii="Arial" w:hAnsi="Arial" w:cs="Arial"/>
                <w:sz w:val="24"/>
              </w:rPr>
            </w:pPr>
            <w:r>
              <w:rPr>
                <w:rFonts w:cs="Arial" w:ascii="Arial" w:hAnsi="Arial"/>
                <w:sz w:val="24"/>
              </w:rPr>
            </w:r>
          </w:p>
          <w:p>
            <w:pPr>
              <w:pStyle w:val="Normal"/>
              <w:rPr>
                <w:rFonts w:ascii="Arial" w:hAnsi="Arial" w:cs="Arial"/>
                <w:b/>
                <w:sz w:val="24"/>
              </w:rPr>
            </w:pPr>
            <w:r>
              <w:rPr>
                <w:rFonts w:cs="Arial" w:ascii="Arial" w:hAnsi="Arial"/>
                <w:b/>
                <w:sz w:val="24"/>
              </w:rPr>
            </w:r>
          </w:p>
          <w:p>
            <w:pPr>
              <w:pStyle w:val="Normal"/>
              <w:rPr>
                <w:rFonts w:ascii="Arial" w:hAnsi="Arial" w:cs="Arial"/>
                <w:b/>
                <w:sz w:val="28"/>
              </w:rPr>
            </w:pPr>
            <w:r>
              <w:rPr>
                <w:rFonts w:cs="Arial" w:ascii="Arial" w:hAnsi="Arial"/>
                <w:b/>
                <w:sz w:val="28"/>
              </w:rPr>
            </w:r>
          </w:p>
          <w:p>
            <w:pPr>
              <w:pStyle w:val="Normal"/>
              <w:rPr>
                <w:rFonts w:ascii="Arial" w:hAnsi="Arial" w:cs="Arial"/>
                <w:sz w:val="24"/>
              </w:rPr>
            </w:pPr>
            <w:r>
              <w:rPr>
                <w:rFonts w:cs="Arial" w:ascii="Arial" w:hAnsi="Arial"/>
                <w:sz w:val="24"/>
              </w:rPr>
              <w:t>_____________________________</w:t>
            </w:r>
          </w:p>
        </w:tc>
      </w:tr>
      <w:tr>
        <w:trPr/>
        <w:tc>
          <w:tcPr>
            <w:tcW w:w="4878" w:type="dxa"/>
            <w:tcBorders/>
          </w:tcPr>
          <w:p>
            <w:pPr>
              <w:pStyle w:val="Header"/>
              <w:tabs>
                <w:tab w:val="clear" w:pos="4320"/>
                <w:tab w:val="clear" w:pos="8640"/>
              </w:tabs>
              <w:snapToGrid w:val="false"/>
              <w:spacing w:lineRule="auto" w:line="480"/>
              <w:rPr>
                <w:rFonts w:ascii="Arial" w:hAnsi="Arial" w:cs="Arial"/>
                <w:sz w:val="24"/>
              </w:rPr>
            </w:pPr>
            <w:r>
              <w:rPr>
                <w:rFonts w:cs="Arial" w:ascii="Arial" w:hAnsi="Arial"/>
                <w:sz w:val="24"/>
              </w:rPr>
            </w:r>
          </w:p>
        </w:tc>
        <w:tc>
          <w:tcPr>
            <w:tcW w:w="5130" w:type="dxa"/>
            <w:tcBorders/>
          </w:tcPr>
          <w:p>
            <w:pPr>
              <w:pStyle w:val="Normal"/>
              <w:rPr>
                <w:rFonts w:ascii="Arial" w:hAnsi="Arial" w:cs="Arial"/>
                <w:sz w:val="24"/>
              </w:rPr>
            </w:pPr>
            <w:r>
              <w:rPr>
                <w:rFonts w:cs="Arial" w:ascii="Arial" w:hAnsi="Arial"/>
                <w:sz w:val="24"/>
              </w:rPr>
              <w:t>Julie Simon, Vice President of Policy</w:t>
            </w:r>
          </w:p>
          <w:p>
            <w:pPr>
              <w:pStyle w:val="Normal"/>
              <w:rPr>
                <w:rFonts w:ascii="Arial" w:hAnsi="Arial" w:cs="Arial"/>
                <w:sz w:val="24"/>
              </w:rPr>
            </w:pPr>
            <w:r>
              <w:rPr>
                <w:rFonts w:cs="Arial" w:ascii="Arial" w:hAnsi="Arial"/>
                <w:sz w:val="24"/>
              </w:rPr>
              <w:t>Erin N. Perrigo, Manager of Policy</w:t>
            </w:r>
          </w:p>
          <w:p>
            <w:pPr>
              <w:pStyle w:val="Normal"/>
              <w:rPr>
                <w:rFonts w:ascii="Arial" w:hAnsi="Arial" w:cs="Arial"/>
                <w:sz w:val="24"/>
              </w:rPr>
            </w:pPr>
            <w:r>
              <w:rPr>
                <w:rFonts w:cs="Arial" w:ascii="Arial" w:hAnsi="Arial"/>
                <w:sz w:val="24"/>
              </w:rPr>
              <w:t>Electric Power Supply Association</w:t>
            </w:r>
          </w:p>
          <w:p>
            <w:pPr>
              <w:pStyle w:val="Normal"/>
              <w:rPr/>
            </w:pPr>
            <w:r>
              <w:rPr>
                <w:rFonts w:cs="Arial" w:ascii="Arial" w:hAnsi="Arial"/>
                <w:sz w:val="24"/>
              </w:rPr>
              <w:t>1401 New York Avenue, 11</w:t>
            </w:r>
            <w:r>
              <w:rPr>
                <w:rFonts w:cs="Arial" w:ascii="Arial" w:hAnsi="Arial"/>
                <w:sz w:val="24"/>
                <w:vertAlign w:val="superscript"/>
              </w:rPr>
              <w:t>th</w:t>
            </w:r>
            <w:r>
              <w:rPr>
                <w:rFonts w:cs="Arial" w:ascii="Arial" w:hAnsi="Arial"/>
                <w:sz w:val="24"/>
              </w:rPr>
              <w:t xml:space="preserve"> Floor</w:t>
            </w:r>
          </w:p>
          <w:p>
            <w:pPr>
              <w:pStyle w:val="Normal"/>
              <w:rPr>
                <w:rFonts w:ascii="Arial" w:hAnsi="Arial" w:cs="Arial"/>
                <w:sz w:val="24"/>
              </w:rPr>
            </w:pPr>
            <w:r>
              <w:rPr>
                <w:rFonts w:cs="Arial" w:ascii="Arial" w:hAnsi="Arial"/>
                <w:sz w:val="24"/>
              </w:rPr>
              <w:t>Washington, DC  20005</w:t>
            </w:r>
          </w:p>
          <w:p>
            <w:pPr>
              <w:pStyle w:val="Normal"/>
              <w:rPr>
                <w:rFonts w:ascii="Arial" w:hAnsi="Arial" w:cs="Arial"/>
                <w:sz w:val="24"/>
              </w:rPr>
            </w:pPr>
            <w:r>
              <w:rPr>
                <w:rFonts w:cs="Arial" w:ascii="Arial" w:hAnsi="Arial"/>
                <w:sz w:val="24"/>
              </w:rPr>
              <w:t>(202) 628-8200</w:t>
            </w:r>
          </w:p>
        </w:tc>
      </w:tr>
      <w:tr>
        <w:trPr/>
        <w:tc>
          <w:tcPr>
            <w:tcW w:w="4878" w:type="dxa"/>
            <w:tcBorders/>
          </w:tcPr>
          <w:p>
            <w:pPr>
              <w:pStyle w:val="Normal"/>
              <w:snapToGrid w:val="false"/>
              <w:spacing w:lineRule="auto" w:line="480"/>
              <w:rPr>
                <w:rFonts w:ascii="Arial" w:hAnsi="Arial" w:cs="Arial"/>
                <w:sz w:val="24"/>
              </w:rPr>
            </w:pPr>
            <w:r>
              <w:rPr>
                <w:rFonts w:cs="Arial" w:ascii="Arial" w:hAnsi="Arial"/>
                <w:sz w:val="24"/>
              </w:rPr>
            </w:r>
          </w:p>
        </w:tc>
        <w:tc>
          <w:tcPr>
            <w:tcW w:w="5130" w:type="dxa"/>
            <w:tcBorders/>
          </w:tcPr>
          <w:p>
            <w:pPr>
              <w:pStyle w:val="Normal"/>
              <w:snapToGrid w:val="false"/>
              <w:spacing w:lineRule="auto" w:line="480"/>
              <w:rPr>
                <w:rFonts w:ascii="Arial" w:hAnsi="Arial" w:cs="Arial"/>
                <w:sz w:val="24"/>
              </w:rPr>
            </w:pPr>
            <w:r>
              <w:rPr>
                <w:rFonts w:cs="Arial" w:ascii="Arial" w:hAnsi="Arial"/>
                <w:sz w:val="24"/>
              </w:rPr>
            </w:r>
          </w:p>
        </w:tc>
      </w:tr>
      <w:tr>
        <w:trPr/>
        <w:tc>
          <w:tcPr>
            <w:tcW w:w="4878" w:type="dxa"/>
            <w:tcBorders/>
          </w:tcPr>
          <w:p>
            <w:pPr>
              <w:pStyle w:val="Normal"/>
              <w:snapToGrid w:val="false"/>
              <w:spacing w:lineRule="auto" w:line="480"/>
              <w:rPr>
                <w:rFonts w:ascii="Arial" w:hAnsi="Arial" w:cs="Arial"/>
                <w:sz w:val="24"/>
              </w:rPr>
            </w:pPr>
            <w:r>
              <w:rPr>
                <w:rFonts w:cs="Arial" w:ascii="Arial" w:hAnsi="Arial"/>
                <w:sz w:val="24"/>
              </w:rPr>
            </w:r>
          </w:p>
        </w:tc>
        <w:tc>
          <w:tcPr>
            <w:tcW w:w="5130" w:type="dxa"/>
            <w:tcBorders/>
          </w:tcPr>
          <w:p>
            <w:pPr>
              <w:pStyle w:val="Normal"/>
              <w:snapToGrid w:val="false"/>
              <w:spacing w:lineRule="auto" w:line="480"/>
              <w:rPr>
                <w:rFonts w:ascii="Arial" w:hAnsi="Arial" w:cs="Arial"/>
                <w:sz w:val="24"/>
              </w:rPr>
            </w:pPr>
            <w:r>
              <w:rPr>
                <w:rFonts w:cs="Arial" w:ascii="Arial" w:hAnsi="Arial"/>
                <w:sz w:val="24"/>
              </w:rPr>
            </w:r>
          </w:p>
          <w:p>
            <w:pPr>
              <w:pStyle w:val="Normal"/>
              <w:spacing w:lineRule="auto" w:line="480"/>
              <w:rPr>
                <w:rFonts w:ascii="Arial" w:hAnsi="Arial" w:cs="Arial"/>
                <w:sz w:val="24"/>
              </w:rPr>
            </w:pPr>
            <w:r>
              <w:rPr>
                <w:rFonts w:cs="Arial" w:ascii="Arial" w:hAnsi="Arial"/>
                <w:sz w:val="24"/>
              </w:rPr>
            </w:r>
          </w:p>
          <w:p>
            <w:pPr>
              <w:pStyle w:val="Normal"/>
              <w:spacing w:lineRule="auto" w:line="480"/>
              <w:rPr>
                <w:rFonts w:ascii="Arial" w:hAnsi="Arial" w:cs="Arial"/>
                <w:sz w:val="24"/>
              </w:rPr>
            </w:pPr>
            <w:r>
              <w:rPr>
                <w:rFonts w:cs="Arial" w:ascii="Arial" w:hAnsi="Arial"/>
                <w:sz w:val="24"/>
              </w:rPr>
            </w:r>
          </w:p>
          <w:p>
            <w:pPr>
              <w:pStyle w:val="Normal"/>
              <w:spacing w:lineRule="auto" w:line="480"/>
              <w:rPr>
                <w:rFonts w:ascii="Arial" w:hAnsi="Arial" w:cs="Arial"/>
                <w:sz w:val="24"/>
              </w:rPr>
            </w:pPr>
            <w:r>
              <w:rPr>
                <w:rFonts w:cs="Arial" w:ascii="Arial" w:hAnsi="Arial"/>
                <w:sz w:val="24"/>
              </w:rPr>
            </w:r>
          </w:p>
        </w:tc>
      </w:tr>
    </w:tbl>
    <w:p>
      <w:pPr>
        <w:pStyle w:val="TitleStyle"/>
        <w:spacing w:lineRule="auto" w:line="480"/>
        <w:rPr>
          <w:rFonts w:ascii="Arial" w:hAnsi="Arial" w:cs="Arial"/>
          <w:u w:val="single"/>
        </w:rPr>
      </w:pPr>
      <w:r>
        <w:rPr>
          <w:rFonts w:cs="Arial" w:ascii="Arial" w:hAnsi="Arial"/>
          <w:u w:val="single"/>
        </w:rPr>
      </w:r>
    </w:p>
    <w:p>
      <w:pPr>
        <w:pStyle w:val="TitleStyle"/>
        <w:spacing w:lineRule="auto" w:line="480"/>
        <w:rPr>
          <w:rFonts w:ascii="Arial" w:hAnsi="Arial" w:cs="Arial"/>
          <w:u w:val="single"/>
        </w:rPr>
      </w:pPr>
      <w:r>
        <w:rPr>
          <w:rFonts w:cs="Arial" w:ascii="Arial" w:hAnsi="Arial"/>
          <w:u w:val="single"/>
        </w:rPr>
      </w:r>
    </w:p>
    <w:p>
      <w:pPr>
        <w:pStyle w:val="TitleStyle"/>
        <w:spacing w:lineRule="auto" w:line="480"/>
        <w:rPr>
          <w:rFonts w:ascii="Arial" w:hAnsi="Arial" w:cs="Arial"/>
          <w:u w:val="single"/>
        </w:rPr>
      </w:pPr>
      <w:r>
        <w:rPr>
          <w:rFonts w:cs="Arial" w:ascii="Arial" w:hAnsi="Arial"/>
          <w:u w:val="single"/>
        </w:rPr>
      </w:r>
    </w:p>
    <w:p>
      <w:pPr>
        <w:pStyle w:val="TitleStyle"/>
        <w:spacing w:lineRule="auto" w:line="480"/>
        <w:rPr>
          <w:rFonts w:ascii="Arial" w:hAnsi="Arial" w:cs="Arial"/>
          <w:u w:val="single"/>
        </w:rPr>
      </w:pPr>
      <w:r>
        <w:rPr>
          <w:rFonts w:cs="Arial" w:ascii="Arial" w:hAnsi="Arial"/>
          <w:u w:val="single"/>
        </w:rPr>
      </w:r>
    </w:p>
    <w:p>
      <w:pPr>
        <w:pStyle w:val="TitleStyle"/>
        <w:spacing w:lineRule="auto" w:line="480"/>
        <w:rPr>
          <w:rFonts w:ascii="Arial" w:hAnsi="Arial" w:cs="Arial"/>
          <w:u w:val="single"/>
        </w:rPr>
      </w:pPr>
      <w:r>
        <w:rPr>
          <w:rFonts w:cs="Arial" w:ascii="Arial" w:hAnsi="Arial"/>
          <w:u w:val="single"/>
        </w:rPr>
      </w:r>
    </w:p>
    <w:p>
      <w:pPr>
        <w:pStyle w:val="TitleStyle"/>
        <w:spacing w:lineRule="auto" w:line="480"/>
        <w:rPr>
          <w:rFonts w:ascii="Arial" w:hAnsi="Arial" w:cs="Arial"/>
          <w:u w:val="single"/>
        </w:rPr>
      </w:pPr>
      <w:r>
        <w:rPr>
          <w:rFonts w:cs="Arial" w:ascii="Arial" w:hAnsi="Arial"/>
          <w:u w:val="single"/>
        </w:rPr>
      </w:r>
    </w:p>
    <w:p>
      <w:pPr>
        <w:pStyle w:val="TitleStyle"/>
        <w:spacing w:lineRule="auto" w:line="480"/>
        <w:rPr>
          <w:rFonts w:ascii="Arial" w:hAnsi="Arial" w:cs="Arial"/>
          <w:u w:val="single"/>
        </w:rPr>
      </w:pPr>
      <w:r>
        <w:rPr>
          <w:rFonts w:cs="Arial" w:ascii="Arial" w:hAnsi="Arial"/>
          <w:u w:val="single"/>
        </w:rPr>
        <w:t>CErtificate of service</w:t>
      </w:r>
    </w:p>
    <w:p>
      <w:pPr>
        <w:pStyle w:val="TitleStyle"/>
        <w:spacing w:lineRule="auto" w:line="480"/>
        <w:rPr>
          <w:rFonts w:ascii="Arial" w:hAnsi="Arial" w:cs="Arial"/>
          <w:u w:val="single"/>
        </w:rPr>
      </w:pPr>
      <w:r>
        <w:rPr>
          <w:rFonts w:cs="Arial" w:ascii="Arial" w:hAnsi="Arial"/>
          <w:u w:val="single"/>
        </w:rPr>
      </w:r>
    </w:p>
    <w:p>
      <w:pPr>
        <w:pStyle w:val="BodyTextStyle"/>
        <w:spacing w:lineRule="auto" w:line="480"/>
        <w:rPr>
          <w:rFonts w:ascii="Arial" w:hAnsi="Arial" w:cs="Arial"/>
        </w:rPr>
      </w:pPr>
      <w:r>
        <w:rPr>
          <w:rFonts w:cs="Arial" w:ascii="Arial" w:hAnsi="Arial"/>
        </w:rPr>
        <w:t>I hereby certify that I have served a copy of the foregoing document by first class United States mail, postage prepaid, upon each person designated on the official service list compiled by the Secretary in this proceeding.</w:t>
      </w:r>
    </w:p>
    <w:p>
      <w:pPr>
        <w:pStyle w:val="BodyText"/>
        <w:spacing w:lineRule="auto" w:line="480"/>
        <w:rPr/>
      </w:pPr>
      <w:r>
        <w:rPr>
          <w:rFonts w:cs="Arial" w:ascii="Arial" w:hAnsi="Arial"/>
          <w:caps/>
        </w:rPr>
        <w:t>d</w:t>
      </w:r>
      <w:r>
        <w:rPr>
          <w:rFonts w:cs="Arial" w:ascii="Arial" w:hAnsi="Arial"/>
        </w:rPr>
        <w:t>ated at Washington, D.C. this 29</w:t>
      </w:r>
      <w:r>
        <w:rPr>
          <w:rFonts w:cs="Arial" w:ascii="Arial" w:hAnsi="Arial"/>
          <w:vertAlign w:val="superscript"/>
        </w:rPr>
        <w:t>th</w:t>
      </w:r>
      <w:r>
        <w:rPr>
          <w:rFonts w:cs="Arial" w:ascii="Arial" w:hAnsi="Arial"/>
        </w:rPr>
        <w:t xml:space="preserve"> day of October, 2001.</w:t>
      </w:r>
    </w:p>
    <w:p>
      <w:pPr>
        <w:pStyle w:val="Normal"/>
        <w:spacing w:lineRule="auto" w:line="480"/>
        <w:rPr>
          <w:rFonts w:ascii="Arial" w:hAnsi="Arial" w:cs="Arial"/>
        </w:rPr>
      </w:pPr>
      <w:r>
        <w:rPr>
          <w:rFonts w:cs="Arial" w:ascii="Arial" w:hAnsi="Arial"/>
        </w:rPr>
      </w:r>
    </w:p>
    <w:p>
      <w:pPr>
        <w:pStyle w:val="Normal"/>
        <w:spacing w:lineRule="auto" w:line="480"/>
        <w:rPr>
          <w:rFonts w:ascii="Arial" w:hAnsi="Arial" w:cs="Arial"/>
        </w:rPr>
      </w:pPr>
      <w:r>
        <w:rPr>
          <w:rFonts w:cs="Arial" w:ascii="Arial" w:hAnsi="Arial"/>
        </w:rPr>
        <w:tab/>
        <w:tab/>
        <w:tab/>
        <w:tab/>
        <w:tab/>
        <w:tab/>
        <w:tab/>
        <w:tab/>
        <w:tab/>
        <w:tab/>
        <w:tab/>
      </w:r>
    </w:p>
    <w:p>
      <w:pPr>
        <w:pStyle w:val="SignatureBlock"/>
        <w:spacing w:lineRule="auto" w:line="240"/>
        <w:ind w:start="3600" w:end="0"/>
        <w:rPr>
          <w:rFonts w:ascii="Arial" w:hAnsi="Arial" w:cs="Arial"/>
        </w:rPr>
      </w:pPr>
      <w:r>
        <w:rPr>
          <w:rFonts w:cs="Arial" w:ascii="Arial" w:hAnsi="Arial"/>
        </w:rPr>
        <w:t>___________________________________</w:t>
      </w:r>
    </w:p>
    <w:p>
      <w:pPr>
        <w:pStyle w:val="BodyTextStyle"/>
        <w:ind w:firstLine="720" w:start="2880" w:end="0"/>
        <w:rPr>
          <w:rFonts w:ascii="Arial" w:hAnsi="Arial" w:cs="Arial"/>
        </w:rPr>
      </w:pPr>
      <w:r>
        <w:rPr>
          <w:rFonts w:cs="Arial" w:ascii="Arial" w:hAnsi="Arial"/>
        </w:rPr>
        <w:t>Julie Simon</w:t>
      </w:r>
    </w:p>
    <w:sectPr>
      <w:headerReference w:type="default" r:id="rId2"/>
      <w:footerReference w:type="default" r:id="rId3"/>
      <w:footnotePr>
        <w:numFmt w:val="decimal"/>
      </w:footnotePr>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Galliard">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9</w:t>
    </w:r>
    <w:r>
      <w:rPr>
        <w:rStyle w:val="PageNumber"/>
        <w:rFonts w:cs="Arial" w:ascii="Arial" w:hAnsi="Arial"/>
      </w:rPr>
      <w:fldChar w:fldCharType="end"/>
    </w:r>
    <w:r>
      <mc:AlternateContent>
        <mc:Choice Requires="wps">
          <w:drawing>
            <wp:anchor behindDoc="0" distT="0" distB="0" distL="0" distR="0" simplePos="0" locked="0" layoutInCell="0" allowOverlap="1" relativeHeight="10">
              <wp:simplePos x="0" y="0"/>
              <wp:positionH relativeFrom="margin">
                <wp:align>right</wp:align>
              </wp:positionH>
              <wp:positionV relativeFrom="paragraph">
                <wp:posOffset>635</wp:posOffset>
              </wp:positionV>
              <wp:extent cx="1460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exact" w:line="260" w:before="0" w:after="120"/>
        <w:rPr/>
      </w:pPr>
      <w:r>
        <w:rPr>
          <w:rStyle w:val="FootnoteCharacters"/>
        </w:rPr>
        <w:footnoteRef/>
      </w:r>
      <w:r>
        <w:rPr>
          <w:rFonts w:cs="Arial" w:ascii="Arial" w:hAnsi="Arial"/>
          <w:sz w:val="20"/>
        </w:rPr>
        <w:t xml:space="preserve"> </w:t>
      </w:r>
      <w:r>
        <w:rPr>
          <w:rFonts w:cs="Arial" w:ascii="Arial" w:hAnsi="Arial"/>
          <w:sz w:val="20"/>
        </w:rPr>
        <w:t>TRANSLink Participants include: Alliant Energy Corporate Services, Inc. on behalf of its operating company affiliates IES Utilities, Inc. and Interstate Power Company; MidAmerican Energy Company; Xcel Energy Services, Inc. on behalf of its operating company affiliates Northern States Power Company Northern States Power Company – Wisconsin, Public Service Company of Colorado, and Southwestern Public Service Company (jointly, Xcel Energy) (Private Power Participants), together with the non-jurisdictional transmission systems of the Nebraska Public Power District (NPPD), Omaha Public Power District (OPPD) (Public Power Participants) and Corn Belt Power Cooperative (Corn Belt) (Cooperative Power Participants) (collectively, TRANSLink Participants).</w:t>
      </w:r>
    </w:p>
  </w:footnote>
  <w:footnote w:id="3">
    <w:p>
      <w:pPr>
        <w:pStyle w:val="FootnoteText"/>
        <w:spacing w:lineRule="exact" w:line="260" w:before="0" w:after="120"/>
        <w:rPr/>
      </w:pPr>
      <w:r>
        <w:rPr>
          <w:rStyle w:val="FootnoteCharacters"/>
        </w:rPr>
        <w:footnoteRef/>
      </w:r>
      <w:r>
        <w:rPr>
          <w:rFonts w:cs="Arial" w:ascii="Arial" w:hAnsi="Arial"/>
          <w:sz w:val="20"/>
        </w:rPr>
        <w:t xml:space="preserve"> </w:t>
      </w:r>
      <w:r>
        <w:rPr>
          <w:rFonts w:cs="Arial" w:ascii="Arial" w:hAnsi="Arial"/>
          <w:sz w:val="20"/>
        </w:rPr>
        <w:t>The comments contained in this filing represent the position of EPSA as an organization, but not necessarily the views of any particular member with respect to any issue.</w:t>
      </w:r>
    </w:p>
  </w:footnote>
  <w:footnote w:id="4">
    <w:p>
      <w:pPr>
        <w:pStyle w:val="FootnoteText"/>
        <w:spacing w:lineRule="exact" w:line="260" w:before="0" w:after="120"/>
        <w:rPr/>
      </w:pPr>
      <w:r>
        <w:rPr>
          <w:rStyle w:val="FootnoteCharacters"/>
        </w:rPr>
        <w:footnoteRef/>
      </w:r>
      <w:r>
        <w:rPr>
          <w:rFonts w:cs="Arial" w:ascii="Arial" w:hAnsi="Arial"/>
          <w:sz w:val="20"/>
        </w:rPr>
        <w:t xml:space="preserve"> </w:t>
      </w:r>
      <w:r>
        <w:rPr>
          <w:rFonts w:cs="Arial" w:ascii="Arial" w:hAnsi="Arial"/>
          <w:i/>
          <w:sz w:val="20"/>
        </w:rPr>
        <w:t>Commonwealth Edison Co., et al.</w:t>
      </w:r>
      <w:r>
        <w:rPr>
          <w:rFonts w:cs="Arial" w:ascii="Arial" w:hAnsi="Arial"/>
          <w:sz w:val="20"/>
        </w:rPr>
        <w:t xml:space="preserve"> 90 FERC ¶ 61,192 (2000).</w:t>
      </w:r>
    </w:p>
  </w:footnote>
  <w:footnote w:id="5">
    <w:p>
      <w:pPr>
        <w:pStyle w:val="FootnoteText"/>
        <w:spacing w:lineRule="exact" w:line="260" w:before="0" w:after="120"/>
        <w:rPr/>
      </w:pPr>
      <w:r>
        <w:rPr>
          <w:rStyle w:val="FootnoteCharacters"/>
        </w:rPr>
        <w:footnoteRef/>
      </w:r>
      <w:r>
        <w:rPr>
          <w:rFonts w:cs="Arial" w:ascii="Arial" w:hAnsi="Arial"/>
          <w:sz w:val="20"/>
        </w:rPr>
        <w:t xml:space="preserve"> </w:t>
      </w:r>
      <w:r>
        <w:rPr>
          <w:rFonts w:cs="Arial" w:ascii="Arial" w:hAnsi="Arial"/>
          <w:sz w:val="20"/>
        </w:rPr>
        <w:t>Order No. 2000 at 31,061.</w:t>
      </w:r>
    </w:p>
  </w:footnote>
  <w:footnote w:id="6">
    <w:p>
      <w:pPr>
        <w:pStyle w:val="FootnoteText"/>
        <w:spacing w:lineRule="exact" w:line="260" w:before="0" w:after="120"/>
        <w:rPr/>
      </w:pPr>
      <w:r>
        <w:rPr>
          <w:rStyle w:val="FootnoteCharacters"/>
        </w:rPr>
        <w:footnoteRef/>
      </w:r>
      <w:r>
        <w:rPr>
          <w:rFonts w:cs="Arial" w:ascii="Arial" w:hAnsi="Arial"/>
          <w:sz w:val="20"/>
        </w:rPr>
        <w:t xml:space="preserve"> </w:t>
      </w:r>
      <w:r>
        <w:rPr>
          <w:rFonts w:cs="Arial" w:ascii="Arial" w:hAnsi="Arial"/>
          <w:i/>
          <w:sz w:val="20"/>
        </w:rPr>
        <w:t>Id.</w:t>
      </w:r>
    </w:p>
  </w:footnote>
  <w:footnote w:id="7">
    <w:p>
      <w:pPr>
        <w:pStyle w:val="FootnoteText"/>
        <w:spacing w:lineRule="exact" w:line="260" w:before="0" w:after="120"/>
        <w:rPr/>
      </w:pPr>
      <w:r>
        <w:rPr>
          <w:rStyle w:val="FootnoteCharacters"/>
        </w:rPr>
        <w:footnoteRef/>
      </w:r>
      <w:r>
        <w:rPr>
          <w:rFonts w:cs="Arial" w:ascii="Arial" w:hAnsi="Arial"/>
          <w:sz w:val="20"/>
        </w:rPr>
        <w:t xml:space="preserve"> </w:t>
      </w:r>
      <w:r>
        <w:rPr>
          <w:rFonts w:cs="Arial" w:ascii="Arial" w:hAnsi="Arial"/>
          <w:sz w:val="20"/>
        </w:rPr>
        <w:t>Transmittal Letter at 20.</w:t>
      </w:r>
    </w:p>
  </w:footnote>
  <w:footnote w:id="8">
    <w:p>
      <w:pPr>
        <w:pStyle w:val="FootnoteText"/>
        <w:spacing w:lineRule="exact" w:line="260" w:before="0" w:after="120"/>
        <w:rPr/>
      </w:pPr>
      <w:r>
        <w:rPr>
          <w:rStyle w:val="FootnoteCharacters"/>
        </w:rPr>
        <w:footnoteRef/>
      </w:r>
      <w:r>
        <w:rPr>
          <w:rFonts w:cs="Arial" w:ascii="Arial" w:hAnsi="Arial"/>
          <w:sz w:val="20"/>
        </w:rPr>
        <w:t xml:space="preserve"> </w:t>
      </w:r>
      <w:r>
        <w:rPr>
          <w:rFonts w:cs="Arial" w:ascii="Arial" w:hAnsi="Arial"/>
          <w:i/>
          <w:sz w:val="20"/>
        </w:rPr>
        <w:t>Id</w:t>
      </w:r>
      <w:r>
        <w:rPr>
          <w:rFonts w:cs="Arial" w:ascii="Arial" w:hAnsi="Arial"/>
          <w:sz w:val="20"/>
        </w:rPr>
        <w:t>.</w:t>
      </w:r>
    </w:p>
  </w:footnote>
  <w:footnote w:id="9">
    <w:p>
      <w:pPr>
        <w:pStyle w:val="FootnoteText"/>
        <w:spacing w:lineRule="exact" w:line="260" w:before="0" w:after="120"/>
        <w:rPr/>
      </w:pPr>
      <w:r>
        <w:rPr>
          <w:rStyle w:val="FootnoteCharacters"/>
        </w:rPr>
        <w:footnoteRef/>
      </w:r>
      <w:r>
        <w:rPr>
          <w:rFonts w:cs="Arial" w:ascii="Arial" w:hAnsi="Arial"/>
          <w:sz w:val="20"/>
        </w:rPr>
        <w:t xml:space="preserve"> </w:t>
      </w:r>
      <w:r>
        <w:rPr>
          <w:rFonts w:cs="Arial" w:ascii="Arial" w:hAnsi="Arial"/>
          <w:sz w:val="20"/>
        </w:rPr>
        <w:t>Order No. 2000 at xxx.</w:t>
      </w:r>
    </w:p>
  </w:footnote>
  <w:footnote w:id="10">
    <w:p>
      <w:pPr>
        <w:pStyle w:val="FootnoteText"/>
        <w:spacing w:lineRule="exact" w:line="260" w:before="0" w:after="120"/>
        <w:rPr/>
      </w:pPr>
      <w:r>
        <w:rPr>
          <w:rStyle w:val="FootnoteCharacters"/>
        </w:rPr>
        <w:footnoteRef/>
      </w:r>
      <w:r>
        <w:rPr>
          <w:rFonts w:cs="Arial" w:ascii="Arial" w:hAnsi="Arial"/>
          <w:sz w:val="20"/>
        </w:rPr>
        <w:t xml:space="preserve"> </w:t>
      </w:r>
      <w:r>
        <w:rPr>
          <w:rFonts w:cs="Arial" w:ascii="Arial" w:hAnsi="Arial"/>
          <w:i/>
          <w:sz w:val="20"/>
        </w:rPr>
        <w:t>Id</w:t>
      </w:r>
      <w:r>
        <w:rPr>
          <w:rFonts w:cs="Arial" w:ascii="Arial" w:hAnsi="Arial"/>
          <w:sz w:val="20"/>
        </w:rPr>
        <w:t>. At 31,089.</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8"/>
      </w:rPr>
    </w:pPr>
    <w:r>
      <w:rPr>
        <w:rFonts w:cs="Arial" w:ascii="Arial" w:hAnsi="Arial"/>
        <w:b/>
        <w:sz w:val="28"/>
      </w:rPr>
      <w:t>DRAFT</w:t>
    </w:r>
  </w:p>
  <w:p>
    <w:pPr>
      <w:pStyle w:val="Header"/>
      <w:jc w:val="end"/>
      <w:rPr>
        <w:rFonts w:ascii="Arial" w:hAnsi="Arial" w:cs="Arial"/>
        <w:b/>
        <w:sz w:val="28"/>
      </w:rPr>
    </w:pPr>
    <w:r>
      <w:rPr>
        <w:rFonts w:cs="Arial" w:ascii="Arial" w:hAnsi="Arial"/>
        <w:b/>
        <w:sz w:val="28"/>
      </w:rPr>
      <w:fldChar w:fldCharType="begin"/>
    </w:r>
    <w:r>
      <w:rPr>
        <w:sz w:val="28"/>
        <w:b/>
        <w:rFonts w:cs="Arial" w:ascii="Arial" w:hAnsi="Arial"/>
      </w:rPr>
      <w:instrText xml:space="preserve"> DATE \@"MM\/dd\/yy" </w:instrText>
    </w:r>
    <w:r>
      <w:rPr>
        <w:sz w:val="28"/>
        <w:b/>
        <w:rFonts w:cs="Arial" w:ascii="Arial" w:hAnsi="Arial"/>
      </w:rPr>
      <w:fldChar w:fldCharType="separate"/>
    </w:r>
    <w:r>
      <w:rPr>
        <w:sz w:val="28"/>
        <w:b/>
        <w:rFonts w:cs="Arial" w:ascii="Arial" w:hAnsi="Arial"/>
      </w:rPr>
      <w:t>09/28/25</w:t>
    </w:r>
    <w:r>
      <w:rPr>
        <w:sz w:val="28"/>
        <w:b/>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sz w:val="24"/>
      <w:u w:val="single"/>
    </w:rPr>
  </w:style>
  <w:style w:type="paragraph" w:styleId="Heading2">
    <w:name w:val="heading 2"/>
    <w:basedOn w:val="Normal"/>
    <w:next w:val="Normal"/>
    <w:qFormat/>
    <w:pPr>
      <w:keepNext w:val="true"/>
      <w:numPr>
        <w:ilvl w:val="1"/>
        <w:numId w:val="1"/>
      </w:numPr>
      <w:ind w:hanging="0" w:start="1440" w:end="0"/>
      <w:outlineLvl w:val="1"/>
    </w:pPr>
    <w:rPr>
      <w:rFonts w:ascii="Arial" w:hAnsi="Arial" w:cs="Arial"/>
      <w:sz w:val="24"/>
    </w:rPr>
  </w:style>
  <w:style w:type="paragraph" w:styleId="Heading3">
    <w:name w:val="heading 3"/>
    <w:basedOn w:val="Normal"/>
    <w:next w:val="Normal"/>
    <w:qFormat/>
    <w:pPr>
      <w:keepNext w:val="true"/>
      <w:numPr>
        <w:ilvl w:val="2"/>
        <w:numId w:val="1"/>
      </w:numPr>
      <w:outlineLvl w:val="2"/>
    </w:pPr>
    <w:rPr>
      <w:rFonts w:ascii="Arial" w:hAnsi="Arial" w:cs="Arial"/>
      <w:sz w:val="24"/>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Wingdings" w:hAnsi="Wingdings" w:cs="Wingdings"/>
    </w:rPr>
  </w:style>
  <w:style w:type="character" w:styleId="WW8Num14z0">
    <w:name w:val="WW8Num14z0"/>
    <w:qFormat/>
    <w:rPr/>
  </w:style>
  <w:style w:type="character" w:styleId="WW8Num15z0">
    <w:name w:val="WW8Num15z0"/>
    <w:qFormat/>
    <w:rPr>
      <w:rFonts w:ascii="Times New Roman" w:hAnsi="Times New Roman" w:cs="Times New Roman"/>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Wingdings" w:hAnsi="Wingdings" w:cs="Wingdings"/>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sz w:val="2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Arial" w:hAnsi="Arial" w:cs="Arial"/>
      <w:sz w:val="24"/>
    </w:rPr>
  </w:style>
  <w:style w:type="paragraph" w:styleId="BodyText">
    <w:name w:val="Body Text"/>
    <w:basedOn w:val="Normal"/>
    <w:pPr>
      <w:spacing w:lineRule="atLeast" w:line="480" w:before="0" w:after="273"/>
      <w:ind w:firstLine="1080" w:start="0" w:end="0"/>
    </w:pPr>
    <w:rPr>
      <w:rFonts w:ascii="Galliard;Times New Roman" w:hAnsi="Galliard;Times New Roman" w:cs="Galliard;Times New Roman"/>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Style">
    <w:name w:val="Body Text Style"/>
    <w:basedOn w:val="Normal"/>
    <w:qFormat/>
    <w:pPr>
      <w:spacing w:lineRule="exact" w:line="520"/>
      <w:ind w:firstLine="1080" w:start="0" w:end="0"/>
    </w:pPr>
    <w:rPr>
      <w:rFonts w:ascii="Galliard;Times New Roman" w:hAnsi="Galliard;Times New Roman" w:cs="Galliard;Times New Roman"/>
      <w:sz w:val="24"/>
    </w:rPr>
  </w:style>
  <w:style w:type="paragraph" w:styleId="FootnoteText">
    <w:name w:val="footnote text"/>
    <w:basedOn w:val="Normal"/>
    <w:pPr>
      <w:spacing w:lineRule="exact" w:line="260" w:before="0" w:after="120"/>
    </w:pPr>
    <w:rPr>
      <w:rFonts w:ascii="Galliard;Times New Roman" w:hAnsi="Galliard;Times New Roman" w:cs="Galliard;Times New Roman"/>
      <w:sz w:val="22"/>
    </w:rPr>
  </w:style>
  <w:style w:type="paragraph" w:styleId="BodyText3">
    <w:name w:val="Body Text 3"/>
    <w:basedOn w:val="Normal"/>
    <w:qFormat/>
    <w:pPr>
      <w:spacing w:lineRule="auto" w:line="480"/>
    </w:pPr>
    <w:rPr>
      <w:rFonts w:ascii="Arial" w:hAnsi="Arial" w:cs="Arial"/>
      <w:color w:val="000000"/>
      <w:sz w:val="24"/>
    </w:rPr>
  </w:style>
  <w:style w:type="paragraph" w:styleId="BodyTextIndent">
    <w:name w:val="Body Text Indent"/>
    <w:basedOn w:val="Normal"/>
    <w:pPr>
      <w:spacing w:lineRule="auto" w:line="480"/>
      <w:ind w:firstLine="720" w:start="0" w:end="0"/>
    </w:pPr>
    <w:rPr>
      <w:rFonts w:ascii="Arial" w:hAnsi="Arial" w:cs="Arial"/>
      <w:sz w:val="24"/>
    </w:rPr>
  </w:style>
  <w:style w:type="paragraph" w:styleId="BodyText2">
    <w:name w:val="Body Text 2"/>
    <w:basedOn w:val="Normal"/>
    <w:qFormat/>
    <w:pPr>
      <w:spacing w:lineRule="auto" w:line="480"/>
    </w:pPr>
    <w:rPr>
      <w:rFonts w:ascii="Arial" w:hAnsi="Arial" w:cs="Arial"/>
      <w:sz w:val="24"/>
    </w:rPr>
  </w:style>
  <w:style w:type="paragraph" w:styleId="SignatureBlock">
    <w:name w:val="Signature Block"/>
    <w:basedOn w:val="Normal"/>
    <w:qFormat/>
    <w:pPr>
      <w:spacing w:lineRule="exact" w:line="260"/>
      <w:ind w:hanging="0" w:start="4680" w:end="0"/>
    </w:pPr>
    <w:rPr>
      <w:rFonts w:ascii="Galliard;Times New Roman" w:hAnsi="Galliard;Times New Roman" w:cs="Galliard;Times New Roman"/>
      <w:sz w:val="24"/>
    </w:rPr>
  </w:style>
  <w:style w:type="paragraph" w:styleId="TitleStyle">
    <w:name w:val="Title Style"/>
    <w:basedOn w:val="Normal"/>
    <w:qFormat/>
    <w:pPr>
      <w:jc w:val="center"/>
    </w:pPr>
    <w:rPr>
      <w:rFonts w:ascii="Galliard;Times New Roman" w:hAnsi="Galliard;Times New Roman" w:cs="Galliard;Times New Roman"/>
      <w:b/>
      <w:cap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autoSpaceDE w:val="false"/>
      <w:ind w:hanging="720" w:start="720" w:end="0"/>
      <w:jc w:val="both"/>
    </w:pPr>
    <w:rPr>
      <w:rFonts w:ascii="Arial" w:hAnsi="Arial" w:cs="Arial"/>
      <w:color w:val="000000"/>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2001-10-24T14:50:00Z</dcterms:created>
  <dc:creator>EPSA Staff</dc:creator>
  <dc:description/>
  <dc:language>en-CA</dc:language>
  <cp:lastModifiedBy>Valued Gateway Client</cp:lastModifiedBy>
  <cp:lastPrinted>2001-10-24T13:50:00Z</cp:lastPrinted>
  <dcterms:modified xsi:type="dcterms:W3CDTF">2001-10-24T15:21:00Z</dcterms:modified>
  <cp:revision>5</cp:revision>
  <dc:subject/>
  <dc:title>UNITED STATES OF AMERICA</dc:title>
</cp:coreProperties>
</file>