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u w:val="single"/>
        </w:rPr>
      </w:pPr>
      <w:r>
        <w:rPr>
          <w:b/>
          <w:u w:val="single"/>
        </w:rPr>
      </w:r>
    </w:p>
    <w:p>
      <w:pPr>
        <w:pStyle w:val="Normal"/>
        <w:rPr>
          <w:b/>
          <w:u w:val="single"/>
        </w:rPr>
      </w:pPr>
      <w:r>
        <w:rPr>
          <w:b/>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32"/>
        </w:rPr>
      </w:pPr>
      <w:r>
        <w:rPr>
          <w:b/>
          <w:sz w:val="32"/>
        </w:rPr>
        <w:t>TURBINE PURCHASE AGREEMENT</w:t>
      </w:r>
    </w:p>
    <w:p>
      <w:pPr>
        <w:pStyle w:val="Normal"/>
        <w:jc w:val="center"/>
        <w:rPr>
          <w:b/>
          <w:sz w:val="32"/>
        </w:rPr>
      </w:pPr>
      <w:r>
        <w:rPr>
          <w:b/>
          <w:sz w:val="32"/>
        </w:rPr>
      </w:r>
    </w:p>
    <w:p>
      <w:pPr>
        <w:pStyle w:val="Normal"/>
        <w:jc w:val="center"/>
        <w:rPr>
          <w:b/>
          <w:sz w:val="32"/>
        </w:rPr>
      </w:pPr>
      <w:r>
        <w:rPr>
          <w:b/>
          <w:sz w:val="32"/>
        </w:rPr>
        <w:t>BETWEEN</w:t>
      </w:r>
    </w:p>
    <w:p>
      <w:pPr>
        <w:pStyle w:val="Normal"/>
        <w:jc w:val="center"/>
        <w:rPr>
          <w:b/>
          <w:sz w:val="32"/>
        </w:rPr>
      </w:pPr>
      <w:r>
        <w:rPr>
          <w:b/>
          <w:sz w:val="32"/>
        </w:rPr>
      </w:r>
    </w:p>
    <w:p>
      <w:pPr>
        <w:pStyle w:val="Normal"/>
        <w:jc w:val="center"/>
        <w:rPr>
          <w:b/>
          <w:sz w:val="32"/>
        </w:rPr>
      </w:pPr>
      <w:r>
        <w:rPr>
          <w:b/>
          <w:sz w:val="32"/>
        </w:rPr>
        <w:t xml:space="preserve">GENERAL ELECTRIC </w:t>
      </w:r>
    </w:p>
    <w:p>
      <w:pPr>
        <w:pStyle w:val="Normal"/>
        <w:jc w:val="center"/>
        <w:rPr>
          <w:b/>
          <w:sz w:val="32"/>
        </w:rPr>
      </w:pPr>
      <w:r>
        <w:rPr>
          <w:b/>
          <w:sz w:val="32"/>
        </w:rPr>
      </w:r>
    </w:p>
    <w:p>
      <w:pPr>
        <w:pStyle w:val="Normal"/>
        <w:jc w:val="center"/>
        <w:rPr>
          <w:b/>
          <w:sz w:val="32"/>
        </w:rPr>
      </w:pPr>
      <w:r>
        <w:rPr>
          <w:b/>
          <w:sz w:val="32"/>
        </w:rPr>
        <w:t>AND</w:t>
      </w:r>
    </w:p>
    <w:p>
      <w:pPr>
        <w:pStyle w:val="Normal"/>
        <w:jc w:val="center"/>
        <w:rPr>
          <w:b/>
          <w:sz w:val="32"/>
        </w:rPr>
      </w:pPr>
      <w:r>
        <w:rPr>
          <w:b/>
          <w:sz w:val="32"/>
        </w:rPr>
      </w:r>
    </w:p>
    <w:p>
      <w:pPr>
        <w:pStyle w:val="Normal"/>
        <w:jc w:val="center"/>
        <w:rPr>
          <w:b/>
          <w:sz w:val="32"/>
        </w:rPr>
      </w:pPr>
      <w:r>
        <w:rPr>
          <w:b/>
          <w:sz w:val="32"/>
        </w:rPr>
        <w:t>ENRON NORTH AMERICA</w:t>
      </w:r>
    </w:p>
    <w:p>
      <w:pPr>
        <w:pStyle w:val="Normal"/>
        <w:jc w:val="center"/>
        <w:rPr>
          <w:b/>
          <w:sz w:val="32"/>
        </w:rPr>
      </w:pPr>
      <w:r>
        <w:rPr>
          <w:b/>
          <w:sz w:val="32"/>
        </w:rPr>
      </w:r>
    </w:p>
    <w:p>
      <w:pPr>
        <w:pStyle w:val="Normal"/>
        <w:jc w:val="center"/>
        <w:rPr>
          <w:b/>
          <w:sz w:val="32"/>
        </w:rPr>
      </w:pPr>
      <w:r>
        <w:rPr>
          <w:b/>
          <w:sz w:val="32"/>
        </w:rPr>
        <w:t>FOR</w:t>
      </w:r>
    </w:p>
    <w:p>
      <w:pPr>
        <w:pStyle w:val="Normal"/>
        <w:jc w:val="center"/>
        <w:rPr>
          <w:b/>
          <w:sz w:val="32"/>
        </w:rPr>
      </w:pPr>
      <w:r>
        <w:rPr>
          <w:b/>
          <w:sz w:val="32"/>
        </w:rPr>
        <w:t xml:space="preserve"> </w:t>
      </w:r>
    </w:p>
    <w:p>
      <w:pPr>
        <w:pStyle w:val="Normal"/>
        <w:jc w:val="center"/>
        <w:rPr>
          <w:b/>
          <w:sz w:val="32"/>
        </w:rPr>
      </w:pPr>
      <w:r>
        <w:rPr>
          <w:b/>
          <w:sz w:val="32"/>
        </w:rPr>
        <w:t>FOUR - 7FA GAS TURBINE GENERATORS</w:t>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fldChar w:fldCharType="begin"/>
      </w:r>
      <w:r>
        <w:rPr>
          <w:sz w:val="32"/>
          <w:b/>
        </w:rPr>
        <w:instrText xml:space="preserve"> DATE \@"MMMM\ d', 'yyyy" </w:instrText>
      </w:r>
      <w:r>
        <w:rPr>
          <w:sz w:val="32"/>
          <w:b/>
        </w:rPr>
        <w:fldChar w:fldCharType="separate"/>
      </w:r>
      <w:r>
        <w:rPr>
          <w:sz w:val="32"/>
          <w:b/>
        </w:rPr>
        <w:t>September 28, 2025</w:t>
      </w:r>
      <w:r>
        <w:rPr>
          <w:sz w:val="32"/>
          <w:b/>
        </w:rPr>
        <w:fldChar w:fldCharType="end"/>
      </w:r>
    </w:p>
    <w:p>
      <w:pPr>
        <w:pStyle w:val="Heading"/>
        <w:rPr>
          <w:b w:val="false"/>
          <w:sz w:val="32"/>
          <w:u w:val="single"/>
        </w:rPr>
      </w:pPr>
      <w:r>
        <w:rPr>
          <w:b w:val="false"/>
          <w:sz w:val="32"/>
          <w:u w:val="single"/>
        </w:rPr>
      </w:r>
    </w:p>
    <w:p>
      <w:pPr>
        <w:pStyle w:val="Normal"/>
        <w:rPr>
          <w:u w:val="single"/>
        </w:rPr>
      </w:pPr>
      <w:r>
        <w:rPr>
          <w:u w:val="single"/>
        </w:rPr>
      </w:r>
    </w:p>
    <w:p>
      <w:pPr>
        <w:sectPr>
          <w:footerReference w:type="default" r:id="rId2"/>
          <w:type w:val="nextPage"/>
          <w:pgSz w:w="12240" w:h="15840"/>
          <w:pgMar w:left="1440" w:right="1440" w:gutter="0" w:header="0" w:top="1296" w:footer="720" w:bottom="776"/>
          <w:pgNumType w:start="1" w:fmt="decimal"/>
          <w:formProt w:val="false"/>
          <w:textDirection w:val="lrTb"/>
          <w:docGrid w:type="default" w:linePitch="360" w:charSpace="0"/>
        </w:sectPr>
        <w:pStyle w:val="Normal"/>
        <w:rPr/>
      </w:pPr>
      <w:r>
        <w:rPr/>
      </w:r>
    </w:p>
    <w:p>
      <w:pPr>
        <w:pStyle w:val="Subtitle"/>
        <w:spacing w:lineRule="auto" w:line="240"/>
        <w:rPr/>
      </w:pPr>
      <w:r>
        <w:rPr/>
        <w:t>TABLE OF CONTENTS</w:t>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24" w:space="0" w:color="000000"/>
            </w:tcBorders>
          </w:tcPr>
          <w:p>
            <w:pPr>
              <w:pStyle w:val="Normal"/>
              <w:snapToGrid w:val="false"/>
              <w:spacing w:lineRule="auto" w:line="240"/>
              <w:rPr/>
            </w:pPr>
            <w:r>
              <w:rPr/>
            </w:r>
          </w:p>
        </w:tc>
      </w:tr>
    </w:tbl>
    <w:p>
      <w:pPr>
        <w:pStyle w:val="Normal"/>
        <w:tabs>
          <w:tab w:val="clear" w:pos="720"/>
          <w:tab w:val="right" w:pos="9360" w:leader="none"/>
        </w:tabs>
        <w:spacing w:lineRule="auto" w:line="240"/>
        <w:rPr>
          <w:b/>
        </w:rPr>
      </w:pPr>
      <w:r>
        <w:rPr>
          <w:b/>
        </w:rPr>
        <w:t>ARTICLE</w:t>
        <w:tab/>
        <w:t>PAGE</w:t>
      </w:r>
    </w:p>
    <w:p>
      <w:pPr>
        <w:pStyle w:val="Normal"/>
        <w:spacing w:lineRule="auto" w:line="240"/>
        <w:rPr/>
      </w:pPr>
      <w:r>
        <w:rPr/>
      </w:r>
    </w:p>
    <w:sdt>
      <w:sdtPr>
        <w:docPartObj>
          <w:docPartGallery w:val="Table of Contents"/>
          <w:docPartUnique w:val="true"/>
        </w:docPartObj>
      </w:sdtPr>
      <w:sdtContent>
        <w:p>
          <w:pPr>
            <w:pStyle w:val="TOC1"/>
            <w:tabs>
              <w:tab w:val="left" w:pos="440" w:leader="none"/>
              <w:tab w:val="right" w:pos="9360" w:leader="dot"/>
            </w:tabs>
            <w:rPr>
              <w:lang w:val="en-CA"/>
            </w:rPr>
          </w:pPr>
          <w:r>
            <w:fldChar w:fldCharType="begin"/>
          </w:r>
          <w:r>
            <w:rPr>
              <w:lang w:val="en-CA"/>
            </w:rPr>
            <w:instrText xml:space="preserve"> TOC \o "1-3" </w:instrText>
          </w:r>
          <w:r>
            <w:rPr>
              <w:lang w:val="en-CA"/>
            </w:rPr>
            <w:fldChar w:fldCharType="separate"/>
          </w:r>
          <w:r>
            <w:rPr>
              <w:lang w:val="en-CA"/>
            </w:rPr>
            <w:t>1.</w:t>
            <w:tab/>
            <w:t>General Terms of Sale.</w:t>
            <w:tab/>
          </w:r>
          <w:hyperlink w:anchor="__RefHeading___Toc503095894">
            <w:r>
              <w:rPr>
                <w:rStyle w:val="IndexLink"/>
                <w:lang w:val="en-CA"/>
              </w:rPr>
              <w:t>2</w:t>
            </w:r>
          </w:hyperlink>
        </w:p>
        <w:p>
          <w:pPr>
            <w:pStyle w:val="TOC1"/>
            <w:tabs>
              <w:tab w:val="left" w:pos="440" w:leader="none"/>
              <w:tab w:val="right" w:pos="9360" w:leader="dot"/>
            </w:tabs>
            <w:rPr>
              <w:lang w:val="en-CA"/>
            </w:rPr>
          </w:pPr>
          <w:r>
            <w:rPr>
              <w:lang w:val="en-CA"/>
            </w:rPr>
            <w:t>2.</w:t>
            <w:tab/>
            <w:t>Price and Payment Schedule.</w:t>
            <w:tab/>
          </w:r>
          <w:hyperlink w:anchor="__RefHeading___Toc503095895">
            <w:r>
              <w:rPr>
                <w:rStyle w:val="IndexLink"/>
                <w:lang w:val="en-CA"/>
              </w:rPr>
              <w:t>3</w:t>
            </w:r>
          </w:hyperlink>
        </w:p>
        <w:p>
          <w:pPr>
            <w:pStyle w:val="TOC1"/>
            <w:tabs>
              <w:tab w:val="left" w:pos="440" w:leader="none"/>
              <w:tab w:val="right" w:pos="9360" w:leader="dot"/>
            </w:tabs>
            <w:rPr>
              <w:lang w:val="en-CA"/>
            </w:rPr>
          </w:pPr>
          <w:r>
            <w:rPr>
              <w:lang w:val="en-CA"/>
            </w:rPr>
            <w:t>3.</w:t>
            <w:tab/>
            <w:t>Delivery and Shipment.</w:t>
            <w:tab/>
          </w:r>
          <w:hyperlink w:anchor="__RefHeading___Toc503095896">
            <w:r>
              <w:rPr>
                <w:rStyle w:val="IndexLink"/>
                <w:lang w:val="en-CA"/>
              </w:rPr>
              <w:t>3</w:t>
            </w:r>
          </w:hyperlink>
        </w:p>
        <w:p>
          <w:pPr>
            <w:pStyle w:val="TOC1"/>
            <w:tabs>
              <w:tab w:val="left" w:pos="440" w:leader="none"/>
              <w:tab w:val="right" w:pos="9360" w:leader="dot"/>
            </w:tabs>
            <w:rPr>
              <w:lang w:val="en-CA"/>
            </w:rPr>
          </w:pPr>
          <w:r>
            <w:rPr>
              <w:lang w:val="en-CA"/>
            </w:rPr>
            <w:t>4.</w:t>
            <w:tab/>
            <w:t>Obligation to Proceed.</w:t>
            <w:tab/>
          </w:r>
          <w:hyperlink w:anchor="__RefHeading___Toc503095897">
            <w:r>
              <w:rPr>
                <w:rStyle w:val="IndexLink"/>
                <w:lang w:val="en-CA"/>
              </w:rPr>
              <w:t>4</w:t>
            </w:r>
          </w:hyperlink>
        </w:p>
        <w:p>
          <w:pPr>
            <w:pStyle w:val="TOC1"/>
            <w:tabs>
              <w:tab w:val="left" w:pos="440" w:leader="none"/>
              <w:tab w:val="right" w:pos="9360" w:leader="dot"/>
            </w:tabs>
            <w:rPr>
              <w:lang w:val="en-CA"/>
            </w:rPr>
          </w:pPr>
          <w:r>
            <w:rPr>
              <w:lang w:val="en-CA"/>
            </w:rPr>
            <w:t>5.</w:t>
            <w:tab/>
            <w:t>Termination.</w:t>
            <w:tab/>
          </w:r>
          <w:hyperlink w:anchor="__RefHeading___Toc503095898">
            <w:r>
              <w:rPr>
                <w:rStyle w:val="IndexLink"/>
                <w:lang w:val="en-CA"/>
              </w:rPr>
              <w:t>4</w:t>
            </w:r>
          </w:hyperlink>
        </w:p>
        <w:p>
          <w:pPr>
            <w:pStyle w:val="TOC1"/>
            <w:tabs>
              <w:tab w:val="left" w:pos="440" w:leader="none"/>
              <w:tab w:val="right" w:pos="9360" w:leader="dot"/>
            </w:tabs>
            <w:rPr>
              <w:lang w:val="en-CA"/>
            </w:rPr>
          </w:pPr>
          <w:r>
            <w:rPr>
              <w:lang w:val="en-CA"/>
            </w:rPr>
            <w:t>6.</w:t>
            <w:tab/>
            <w:t>Waiver of Consequential Damages.</w:t>
            <w:tab/>
          </w:r>
          <w:hyperlink w:anchor="__RefHeading___Toc503095899">
            <w:r>
              <w:rPr>
                <w:rStyle w:val="IndexLink"/>
                <w:lang w:val="en-CA"/>
              </w:rPr>
              <w:t>4</w:t>
            </w:r>
          </w:hyperlink>
        </w:p>
        <w:p>
          <w:pPr>
            <w:pStyle w:val="TOC1"/>
            <w:tabs>
              <w:tab w:val="left" w:pos="440" w:leader="none"/>
              <w:tab w:val="right" w:pos="9360" w:leader="dot"/>
            </w:tabs>
            <w:rPr>
              <w:lang w:val="en-CA"/>
            </w:rPr>
          </w:pPr>
          <w:r>
            <w:rPr>
              <w:lang w:val="en-CA"/>
            </w:rPr>
            <w:t>7.</w:t>
            <w:tab/>
            <w:t>Governing law...........................................................................................................................................4</w:t>
          </w:r>
        </w:p>
        <w:p>
          <w:pPr>
            <w:pStyle w:val="TOC1"/>
            <w:tabs>
              <w:tab w:val="left" w:pos="440" w:leader="none"/>
              <w:tab w:val="right" w:pos="9360" w:leader="dot"/>
            </w:tabs>
            <w:rPr>
              <w:lang w:val="en-CA"/>
            </w:rPr>
          </w:pPr>
          <w:r>
            <w:rPr>
              <w:lang w:val="en-CA"/>
            </w:rPr>
            <w:t>8.</w:t>
            <w:tab/>
            <w:t>Entire Agreement.</w:t>
            <w:tab/>
          </w:r>
          <w:hyperlink w:anchor="__RefHeading___Toc503095900">
            <w:r>
              <w:rPr>
                <w:rStyle w:val="IndexLink"/>
                <w:lang w:val="en-CA"/>
              </w:rPr>
              <w:t>4</w:t>
            </w:r>
          </w:hyperlink>
        </w:p>
        <w:p>
          <w:pPr>
            <w:pStyle w:val="TOC2"/>
            <w:rPr>
              <w:lang w:val="en-CA"/>
            </w:rPr>
          </w:pPr>
          <w:r>
            <w:rPr>
              <w:lang w:val="en-CA"/>
            </w:rPr>
            <w:t>_______________________________</w:t>
            <w:tab/>
          </w:r>
          <w:hyperlink w:anchor="__RefHeading___Toc503095901">
            <w:r>
              <w:rPr>
                <w:rStyle w:val="IndexLink"/>
                <w:lang w:val="en-CA"/>
              </w:rPr>
              <w:t>6</w:t>
            </w:r>
          </w:hyperlink>
          <w:r>
            <w:rPr>
              <w:rStyle w:val="IndexLink"/>
              <w:lang w:val="en-CA"/>
            </w:rPr>
            <w:fldChar w:fldCharType="end"/>
          </w:r>
        </w:p>
      </w:sdtContent>
    </w:sdt>
    <w:p>
      <w:pPr>
        <w:pStyle w:val="Normal"/>
        <w:spacing w:lineRule="auto" w:line="240"/>
        <w:rPr>
          <w:lang w:val="en-CA"/>
        </w:rPr>
      </w:pPr>
      <w:r>
        <w:rPr>
          <w:lang w:val="en-CA"/>
        </w:rPr>
      </w:r>
    </w:p>
    <w:p>
      <w:pPr>
        <w:pStyle w:val="Normal"/>
        <w:spacing w:lineRule="auto" w:line="240"/>
        <w:jc w:val="center"/>
        <w:rPr/>
      </w:pPr>
      <w:r>
        <w:rPr/>
        <w:t>Appendixes</w:t>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24" w:space="0" w:color="000000"/>
            </w:tcBorders>
          </w:tcPr>
          <w:p>
            <w:pPr>
              <w:pStyle w:val="Normal"/>
              <w:snapToGrid w:val="false"/>
              <w:spacing w:lineRule="auto" w:line="240"/>
              <w:rPr/>
            </w:pPr>
            <w:r>
              <w:rPr/>
            </w:r>
          </w:p>
        </w:tc>
      </w:tr>
    </w:tbl>
    <w:p>
      <w:pPr>
        <w:pStyle w:val="Normal"/>
        <w:spacing w:lineRule="auto" w:line="240"/>
        <w:rPr/>
      </w:pPr>
      <w:r>
        <w:rPr/>
      </w:r>
    </w:p>
    <w:p>
      <w:pPr>
        <w:pStyle w:val="Normal"/>
        <w:spacing w:lineRule="auto" w:line="240"/>
        <w:rPr>
          <w:b/>
        </w:rPr>
      </w:pPr>
      <w:r>
        <w:rPr>
          <w:b/>
        </w:rPr>
      </w:r>
    </w:p>
    <w:p>
      <w:pPr>
        <w:pStyle w:val="Normal"/>
        <w:rPr>
          <w:b/>
        </w:rPr>
      </w:pPr>
      <w:r>
        <w:rPr>
          <w:b/>
        </w:rPr>
        <w:t>Appendix A: Options (To be quoted during contract negotiations)</w:t>
      </w:r>
    </w:p>
    <w:p>
      <w:pPr>
        <w:pStyle w:val="Normal"/>
        <w:spacing w:lineRule="auto" w:line="240"/>
        <w:ind w:hanging="1080" w:start="1080" w:end="0"/>
        <w:rPr>
          <w:b/>
        </w:rPr>
      </w:pPr>
      <w:r>
        <w:rPr>
          <w:b/>
        </w:rPr>
      </w:r>
    </w:p>
    <w:p>
      <w:pPr>
        <w:pStyle w:val="Normal"/>
        <w:spacing w:lineRule="auto" w:line="240"/>
        <w:ind w:hanging="1080" w:start="1080" w:end="0"/>
        <w:rPr>
          <w:b/>
        </w:rPr>
      </w:pPr>
      <w:r>
        <w:rPr>
          <w:b/>
        </w:rPr>
        <w:t>Appendix B: GTG Scope of Supply</w:t>
      </w:r>
    </w:p>
    <w:p>
      <w:pPr>
        <w:pStyle w:val="Normal"/>
        <w:spacing w:lineRule="auto" w:line="240"/>
        <w:rPr/>
      </w:pPr>
      <w:r>
        <w:rPr/>
        <w:br/>
      </w:r>
      <w:r>
        <w:rPr>
          <w:b/>
        </w:rPr>
        <w:t>Appendix C: Payment and Termination Schedule</w:t>
      </w:r>
    </w:p>
    <w:p>
      <w:pPr>
        <w:pStyle w:val="Normal"/>
        <w:spacing w:lineRule="auto" w:line="240"/>
        <w:rPr>
          <w:b/>
        </w:rPr>
      </w:pPr>
      <w:r>
        <w:rPr>
          <w:b/>
        </w:rPr>
        <w:br/>
        <w:t>Appendix D: Shipment Schedule</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lineRule="auto" w:line="240"/>
        <w:rPr>
          <w:b/>
        </w:rPr>
      </w:pPr>
      <w:r>
        <w:rPr>
          <w:b/>
        </w:rPr>
      </w:r>
    </w:p>
    <w:p>
      <w:pPr>
        <w:pStyle w:val="Normal"/>
        <w:jc w:val="center"/>
        <w:rPr>
          <w:b/>
        </w:rPr>
      </w:pPr>
      <w:r>
        <w:rPr>
          <w:b/>
        </w:rPr>
        <w:t>TURBINE PURCHASE AGREEMENT</w:t>
      </w:r>
    </w:p>
    <w:p>
      <w:pPr>
        <w:pStyle w:val="Normal"/>
        <w:rPr/>
      </w:pPr>
      <w:r>
        <w:rPr/>
      </w:r>
    </w:p>
    <w:p>
      <w:pPr>
        <w:pStyle w:val="Normal"/>
        <w:rPr/>
      </w:pPr>
      <w:r>
        <w:rPr/>
        <w:tab/>
        <w:t xml:space="preserve">This </w:t>
      </w:r>
      <w:r>
        <w:rPr>
          <w:b/>
        </w:rPr>
        <w:t xml:space="preserve">TURBINE PURCHASE AGREEMENT </w:t>
      </w:r>
      <w:r>
        <w:rPr/>
        <w:t xml:space="preserve">(the “Agreement”) is entered into as of the ___ day of ___________, 200_, by and between </w:t>
      </w:r>
      <w:r>
        <w:rPr>
          <w:b/>
        </w:rPr>
        <w:t>GENERAL ELECTRIC Company</w:t>
      </w:r>
      <w:r>
        <w:rPr/>
        <w:t>, a New York corporation, having a principal place of business at 1 River Road, Schenectady, New York, U.S.A. (“Seller”), and _______________________, a __________ corporation, having a principal place of business at _____________________________- (“Buyer”).  (Seller and Buyer are referred to herein individually as a “Party” and collectively as the "Parties").</w:t>
      </w:r>
    </w:p>
    <w:p>
      <w:pPr>
        <w:pStyle w:val="Normal"/>
        <w:jc w:val="center"/>
        <w:rPr>
          <w:b/>
        </w:rPr>
      </w:pPr>
      <w:r>
        <w:rPr>
          <w:b/>
        </w:rPr>
      </w:r>
    </w:p>
    <w:p>
      <w:pPr>
        <w:pStyle w:val="Normal"/>
        <w:jc w:val="center"/>
        <w:rPr>
          <w:b/>
        </w:rPr>
      </w:pPr>
      <w:r>
        <w:rPr>
          <w:b/>
        </w:rPr>
        <w:t>RECITALS</w:t>
      </w:r>
    </w:p>
    <w:p>
      <w:pPr>
        <w:pStyle w:val="Normal"/>
        <w:rPr>
          <w:b/>
        </w:rPr>
      </w:pPr>
      <w:r>
        <w:rPr>
          <w:b/>
        </w:rPr>
      </w:r>
    </w:p>
    <w:p>
      <w:pPr>
        <w:pStyle w:val="Normal"/>
        <w:rPr/>
      </w:pPr>
      <w:r>
        <w:rPr>
          <w:b/>
        </w:rPr>
        <w:tab/>
        <w:t>WHEREAS</w:t>
      </w:r>
      <w:r>
        <w:rPr/>
        <w:t xml:space="preserve"> Seller is, among other things, in the business of selling gas turbine generators manufactured by its affiliated companies; and</w:t>
      </w:r>
    </w:p>
    <w:p>
      <w:pPr>
        <w:pStyle w:val="Normal"/>
        <w:tabs>
          <w:tab w:val="clear" w:pos="720"/>
          <w:tab w:val="left" w:pos="284" w:leader="none"/>
        </w:tabs>
        <w:rPr/>
      </w:pPr>
      <w:r>
        <w:rPr/>
      </w:r>
    </w:p>
    <w:p>
      <w:pPr>
        <w:pStyle w:val="Normal"/>
        <w:rPr/>
      </w:pPr>
      <w:r>
        <w:rPr/>
        <w:tab/>
      </w:r>
      <w:r>
        <w:rPr>
          <w:b/>
        </w:rPr>
        <w:t xml:space="preserve">WHEREAS </w:t>
      </w:r>
      <w:r>
        <w:rPr/>
        <w:t>Buyer is, among other things, in the business of engineering and construction of power generation facilities; and</w:t>
      </w:r>
    </w:p>
    <w:p>
      <w:pPr>
        <w:pStyle w:val="Normal"/>
        <w:tabs>
          <w:tab w:val="clear" w:pos="720"/>
          <w:tab w:val="left" w:pos="284" w:leader="none"/>
        </w:tabs>
        <w:rPr/>
      </w:pPr>
      <w:r>
        <w:rPr/>
      </w:r>
    </w:p>
    <w:p>
      <w:pPr>
        <w:pStyle w:val="Normal"/>
        <w:rPr/>
      </w:pPr>
      <w:r>
        <w:rPr/>
        <w:tab/>
      </w:r>
      <w:r>
        <w:rPr>
          <w:b/>
        </w:rPr>
        <w:t xml:space="preserve">WHEREAS </w:t>
      </w:r>
      <w:r>
        <w:rPr/>
        <w:t xml:space="preserve">Buyer requires (Four) GE Model PG 7241 FA gas turbine generator for installation in the various power projects, to be located in the United States of America (with the exception of California) (the “Projects”); and </w:t>
      </w:r>
    </w:p>
    <w:p>
      <w:pPr>
        <w:pStyle w:val="Normal"/>
        <w:rPr/>
      </w:pPr>
      <w:r>
        <w:rPr/>
      </w:r>
    </w:p>
    <w:p>
      <w:pPr>
        <w:pStyle w:val="Normal"/>
        <w:rPr/>
      </w:pPr>
      <w:r>
        <w:rPr/>
        <w:tab/>
      </w:r>
      <w:r>
        <w:rPr>
          <w:b/>
        </w:rPr>
        <w:t xml:space="preserve">WHEREAS </w:t>
      </w:r>
      <w:r>
        <w:rPr/>
        <w:t>Seller has available to ship (Four) GE Model PG 7241 FA gas turbine generator, associated auxiliary equipment, and Services all as more fully described in Appendix B (the “Equipment”) in XXXXXXXXXXXXXXXXXXXXXX; and</w:t>
      </w:r>
    </w:p>
    <w:p>
      <w:pPr>
        <w:pStyle w:val="Normal"/>
        <w:rPr/>
      </w:pPr>
      <w:r>
        <w:rPr/>
      </w:r>
    </w:p>
    <w:p>
      <w:pPr>
        <w:pStyle w:val="Normal"/>
        <w:rPr/>
      </w:pPr>
      <w:r>
        <w:rPr/>
        <w:tab/>
      </w:r>
      <w:r>
        <w:rPr>
          <w:b/>
        </w:rPr>
        <w:t xml:space="preserve">WHEREAS </w:t>
      </w:r>
      <w:r>
        <w:rPr/>
        <w:t>Buyer desires to purchase and Seller desires to sell the Equipment for installation in the Projects, subject to the terms of this Turbine Purchase Agreement;</w:t>
      </w:r>
    </w:p>
    <w:p>
      <w:pPr>
        <w:pStyle w:val="Normal"/>
        <w:tabs>
          <w:tab w:val="clear" w:pos="720"/>
          <w:tab w:val="left" w:pos="284" w:leader="none"/>
        </w:tabs>
        <w:rPr/>
      </w:pPr>
      <w:r>
        <w:rPr/>
      </w:r>
    </w:p>
    <w:p>
      <w:pPr>
        <w:pStyle w:val="Normal"/>
        <w:rPr/>
      </w:pPr>
      <w:r>
        <w:rPr/>
        <w:tab/>
      </w:r>
      <w:r>
        <w:rPr>
          <w:b/>
        </w:rPr>
        <w:t>NOW, THEREFORE,</w:t>
      </w:r>
      <w:r>
        <w:rPr/>
        <w:t xml:space="preserve"> in consideration of the promises and mutual covenants set forth herein the Parties agree as follows:</w:t>
      </w:r>
    </w:p>
    <w:p>
      <w:pPr>
        <w:pStyle w:val="Heading1"/>
        <w:ind w:hanging="0" w:start="0"/>
        <w:rPr/>
      </w:pPr>
      <w:bookmarkStart w:id="0" w:name="__RefHeading___Toc503095894"/>
      <w:bookmarkStart w:id="1" w:name="_Ref362852047"/>
      <w:bookmarkEnd w:id="0"/>
      <w:r>
        <w:rPr/>
        <w:t>General Terms of Sale.</w:t>
      </w:r>
      <w:bookmarkEnd w:id="1"/>
    </w:p>
    <w:p>
      <w:pPr>
        <w:pStyle w:val="Normal"/>
        <w:ind w:hanging="720" w:start="720" w:end="0"/>
        <w:rPr/>
      </w:pPr>
      <w:bookmarkStart w:id="2" w:name="_Ref362852122"/>
      <w:bookmarkStart w:id="3" w:name="_Ref362852107"/>
      <w:bookmarkStart w:id="4" w:name="_Ref362852099"/>
      <w:r>
        <w:rPr>
          <w:b/>
        </w:rPr>
        <w:t>(a)</w:t>
      </w:r>
      <w:r>
        <w:rPr/>
        <w:t xml:space="preserve"> </w:t>
        <w:tab/>
        <w:t xml:space="preserve">Buyer agrees to buy and Seller agrees to sell the Equipment described in Appendix B, </w:t>
      </w:r>
      <w:r>
        <w:rPr>
          <w:i/>
        </w:rPr>
        <w:t>provided</w:t>
      </w:r>
      <w:r>
        <w:rPr/>
        <w:t xml:space="preserve"> that a definitive Contract of Sale for the Equipment shall have been executed by both Parties no later than January 31, 2001 unless extended by mutual agreement.</w:t>
      </w:r>
    </w:p>
    <w:p>
      <w:pPr>
        <w:pStyle w:val="Normal"/>
        <w:ind w:hanging="720" w:start="720" w:end="0"/>
        <w:rPr/>
      </w:pPr>
      <w:r>
        <w:rPr/>
      </w:r>
    </w:p>
    <w:p>
      <w:pPr>
        <w:pStyle w:val="Normal"/>
        <w:ind w:hanging="720" w:start="720" w:end="0"/>
        <w:rPr/>
      </w:pPr>
      <w:r>
        <w:rPr>
          <w:b/>
        </w:rPr>
        <w:t>(b)</w:t>
        <w:tab/>
      </w:r>
      <w:r>
        <w:rPr/>
        <w:t>Buyer agrees to buy and Seller agrees to provide (or procure that its affiliates provide) technical advisory and training services in connection with the installation of the Equipment (the “Services”).</w:t>
      </w:r>
    </w:p>
    <w:p>
      <w:pPr>
        <w:pStyle w:val="Normal"/>
        <w:ind w:hanging="720" w:start="720" w:end="0"/>
        <w:rPr/>
      </w:pPr>
      <w:r>
        <w:rPr/>
      </w:r>
    </w:p>
    <w:p>
      <w:pPr>
        <w:pStyle w:val="List1"/>
        <w:tabs>
          <w:tab w:val="clear" w:pos="2952"/>
          <w:tab w:val="center" w:pos="4680" w:leader="none"/>
        </w:tabs>
        <w:rPr>
          <w:rFonts w:ascii="Times New Roman" w:hAnsi="Times New Roman" w:cs="Times New Roman"/>
        </w:rPr>
      </w:pPr>
      <w:r>
        <w:rPr>
          <w:rFonts w:cs="Times New Roman" w:ascii="Times New Roman" w:hAnsi="Times New Roman"/>
        </w:rPr>
        <w:t>The Parties agree to negotiate reasonably and in good faith, beginning promptly after the execution of this Agreement and continuing until the termination of this Agreement, to finalize and execute the terms and conditions of the Contract of Sale within the time frame set forth in paragraph (a) above. The Contract of Sale shall be substantially based upon the contract between Westdeutsche Landesbank Girozentrale,New York Branch and Seller for the Dell and McAdams projects dated July 21, 2000 modified to reflect (i) the recent negotiations between Seller and Enron Corp. for a master agreement including assignment, indemnity and limitation of liability provisions , and (ii) the concepts covered in the Assignment and Assumption Agreement dated December 15, 2000 . for the Pastoria Two Train, Pastoria Single Train and Blue Dog Max Projects as required for synthetic leases.</w:t>
      </w:r>
    </w:p>
    <w:p>
      <w:pPr>
        <w:pStyle w:val="Normal"/>
        <w:rPr>
          <w:rFonts w:ascii="Times New Roman" w:hAnsi="Times New Roman" w:cs="Times New Roman"/>
        </w:rPr>
      </w:pPr>
      <w:r>
        <w:rPr>
          <w:rFonts w:cs="Times New Roman"/>
        </w:rPr>
      </w:r>
    </w:p>
    <w:p>
      <w:pPr>
        <w:pStyle w:val="Normal"/>
        <w:numPr>
          <w:ilvl w:val="0"/>
          <w:numId w:val="2"/>
        </w:numPr>
        <w:rPr/>
      </w:pPr>
      <w:r>
        <w:rPr/>
        <w:t>The Parties agree to exclusively negotiate reasonably and in good faith for a period of up to six month’s, beginning promptly after the execution of this Agreement to finalize and execute a Long Term Service Agreement (LTSA) for the equipment.</w:t>
      </w:r>
    </w:p>
    <w:p>
      <w:pPr>
        <w:pStyle w:val="Normal"/>
        <w:rPr/>
      </w:pPr>
      <w:r>
        <w:rPr/>
      </w:r>
    </w:p>
    <w:p>
      <w:pPr>
        <w:pStyle w:val="Normal"/>
        <w:numPr>
          <w:ilvl w:val="0"/>
          <w:numId w:val="2"/>
        </w:numPr>
        <w:rPr/>
      </w:pPr>
      <w:r>
        <w:rPr/>
        <w:t>The Parties agree to exclusively negotiate reasonably and in good faith for a period of up to six month’s , beginning promptly after the execution of this Agreement to finalize and execute a contract for GE Glegg to supply a water treatment system for the equipment where applicable.</w:t>
      </w:r>
    </w:p>
    <w:p>
      <w:pPr>
        <w:pStyle w:val="Normal"/>
        <w:rPr/>
      </w:pPr>
      <w:r>
        <w:rPr/>
      </w:r>
    </w:p>
    <w:p>
      <w:pPr>
        <w:pStyle w:val="Normal"/>
        <w:numPr>
          <w:ilvl w:val="0"/>
          <w:numId w:val="2"/>
        </w:numPr>
        <w:rPr/>
      </w:pPr>
      <w:r>
        <w:rPr/>
        <w:t>The Parties agree to negotiate reasonably and in good faith, beginning promptly after the execution of this Agreement to finalize and execute a contract for the supply of steam turbines and generators based on Seller’s ability to provide shipments in accordance with the Purchasers schedule.</w:t>
      </w:r>
    </w:p>
    <w:p>
      <w:pPr>
        <w:pStyle w:val="Normal"/>
        <w:rPr/>
      </w:pPr>
      <w:r>
        <w:rPr/>
      </w:r>
    </w:p>
    <w:p>
      <w:pPr>
        <w:pStyle w:val="Heading1"/>
        <w:ind w:hanging="0" w:start="0"/>
        <w:rPr/>
      </w:pPr>
      <w:bookmarkStart w:id="5" w:name="_Ref362852122"/>
      <w:bookmarkStart w:id="6" w:name="_Ref362852107"/>
      <w:bookmarkStart w:id="7" w:name="_Ref362852099"/>
      <w:bookmarkStart w:id="8" w:name="__RefHeading___Toc503095895"/>
      <w:bookmarkEnd w:id="8"/>
      <w:r>
        <w:rPr/>
        <w:t>Price and Payment Schedule.</w:t>
      </w:r>
      <w:bookmarkEnd w:id="5"/>
      <w:bookmarkEnd w:id="6"/>
      <w:bookmarkEnd w:id="7"/>
    </w:p>
    <w:p>
      <w:pPr>
        <w:pStyle w:val="Normal"/>
        <w:numPr>
          <w:ilvl w:val="0"/>
          <w:numId w:val="3"/>
        </w:numPr>
        <w:ind w:hanging="720" w:start="720" w:end="0"/>
        <w:rPr/>
      </w:pPr>
      <w:r>
        <w:rPr/>
        <w:t xml:space="preserve">As consideration for the Equipment and Services, Buyer agrees to pay to Seller </w:t>
      </w:r>
      <w:r>
        <w:rPr>
          <w:b/>
        </w:rPr>
        <w:t>XXXXXXX</w:t>
      </w:r>
      <w:r>
        <w:rPr/>
        <w:t xml:space="preserve"> [United States dollars] </w:t>
      </w:r>
      <w:r>
        <w:rPr>
          <w:b/>
        </w:rPr>
        <w:t xml:space="preserve">XXXXXXX </w:t>
      </w:r>
      <w:r>
        <w:rPr/>
        <w:t>or such amount as may be subsequently established through scope modifications or in the Contract of Sale (the “Contract Price”).</w:t>
      </w:r>
    </w:p>
    <w:p>
      <w:pPr>
        <w:pStyle w:val="Normal"/>
        <w:rPr/>
      </w:pPr>
      <w:r>
        <w:rPr/>
      </w:r>
    </w:p>
    <w:p>
      <w:pPr>
        <w:pStyle w:val="Normal"/>
        <w:numPr>
          <w:ilvl w:val="0"/>
          <w:numId w:val="3"/>
        </w:numPr>
        <w:ind w:hanging="720" w:start="720" w:end="0"/>
        <w:rPr>
          <w:b/>
        </w:rPr>
      </w:pPr>
      <w:r>
        <w:rPr/>
        <w:t xml:space="preserve">Within two days following signature of this Agreement, Buyer shall pay to Seller by wire transfer a non-refundable sum equal to five percent of the Contract Price (collectively the “Order Commitment Payment”).  An additional non-refundable sum equal to five percent of the Contract Price will be due January 31, 2001.  The remainder of the Contract Price shall be paid as set forth in Appendix C, </w:t>
      </w:r>
    </w:p>
    <w:p>
      <w:pPr>
        <w:pStyle w:val="Normal"/>
        <w:rPr>
          <w:b/>
        </w:rPr>
      </w:pPr>
      <w:r>
        <w:rPr>
          <w:b/>
        </w:rPr>
      </w:r>
    </w:p>
    <w:p>
      <w:pPr>
        <w:pStyle w:val="Normal"/>
        <w:rPr>
          <w:b/>
        </w:rPr>
      </w:pPr>
      <w:r>
        <w:rPr>
          <w:b/>
        </w:rPr>
      </w:r>
    </w:p>
    <w:p>
      <w:pPr>
        <w:pStyle w:val="Normal"/>
        <w:numPr>
          <w:ilvl w:val="0"/>
          <w:numId w:val="3"/>
        </w:numPr>
        <w:ind w:hanging="720" w:start="720" w:end="0"/>
        <w:rPr>
          <w:b/>
        </w:rPr>
      </w:pPr>
      <w:r>
        <w:rPr/>
        <w:t>The Equipment Price includes domestic freight to the nearest accessible rail siding if shipment is by rail and to the site if shipment is by truck.</w:t>
      </w:r>
    </w:p>
    <w:p>
      <w:pPr>
        <w:pStyle w:val="Heading1"/>
        <w:ind w:hanging="0" w:start="0"/>
        <w:rPr/>
      </w:pPr>
      <w:bookmarkStart w:id="9" w:name="__RefHeading___Toc503095896"/>
      <w:bookmarkEnd w:id="9"/>
      <w:r>
        <w:rPr/>
        <w:t>Delivery and Readiness to Ship (RTS).</w:t>
      </w:r>
    </w:p>
    <w:p>
      <w:pPr>
        <w:pStyle w:val="Normal"/>
        <w:numPr>
          <w:ilvl w:val="0"/>
          <w:numId w:val="5"/>
        </w:numPr>
        <w:rPr/>
      </w:pPr>
      <w:r>
        <w:rPr/>
        <w:t xml:space="preserve">Seller guarantees the RTS Dates set forth in Appendix D, </w:t>
      </w:r>
      <w:r>
        <w:rPr>
          <w:i/>
        </w:rPr>
        <w:t>provided</w:t>
      </w:r>
      <w:r>
        <w:rPr/>
        <w:t xml:space="preserve">: </w:t>
        <w:br/>
      </w:r>
    </w:p>
    <w:p>
      <w:pPr>
        <w:pStyle w:val="TableofAuthorities"/>
        <w:numPr>
          <w:ilvl w:val="0"/>
          <w:numId w:val="6"/>
        </w:numPr>
        <w:tabs>
          <w:tab w:val="clear" w:pos="8640"/>
          <w:tab w:val="left" w:pos="1080" w:leader="none"/>
        </w:tabs>
        <w:spacing w:before="0" w:after="120"/>
        <w:ind w:hanging="360" w:start="1080" w:end="0"/>
        <w:rPr/>
      </w:pPr>
      <w:r>
        <w:rPr/>
        <w:t>that the Order Commitment Payment is received by Seller within two(2) business days of the execution of this Agreement;</w:t>
      </w:r>
    </w:p>
    <w:p>
      <w:pPr>
        <w:pStyle w:val="TableofAuthorities"/>
        <w:numPr>
          <w:ilvl w:val="0"/>
          <w:numId w:val="6"/>
        </w:numPr>
        <w:tabs>
          <w:tab w:val="clear" w:pos="8640"/>
          <w:tab w:val="left" w:pos="1080" w:leader="none"/>
        </w:tabs>
        <w:spacing w:before="0" w:after="120"/>
        <w:ind w:hanging="360" w:start="1080" w:end="0"/>
        <w:rPr/>
      </w:pPr>
      <w:r>
        <w:rPr/>
        <w:t>that final scope definition agreed no later January 31, 2001.</w:t>
      </w:r>
    </w:p>
    <w:p>
      <w:pPr>
        <w:pStyle w:val="TableofAuthorities"/>
        <w:numPr>
          <w:ilvl w:val="0"/>
          <w:numId w:val="6"/>
        </w:numPr>
        <w:tabs>
          <w:tab w:val="clear" w:pos="8640"/>
          <w:tab w:val="left" w:pos="1080" w:leader="none"/>
        </w:tabs>
        <w:spacing w:before="0" w:after="120"/>
        <w:ind w:hanging="360" w:start="1080" w:end="0"/>
        <w:rPr/>
      </w:pPr>
      <w:r>
        <w:rPr/>
        <w:t>that Contract of Sale with respect to such Unit is signed by both Parties no later January 31, 2001.</w:t>
      </w:r>
    </w:p>
    <w:p>
      <w:pPr>
        <w:pStyle w:val="Normal"/>
        <w:ind w:start="720" w:end="0"/>
        <w:rPr/>
      </w:pPr>
      <w:r>
        <w:rPr/>
        <w:t>The time within which conditions (b) and (c) above must be met may be extended by written agreement of the Parties.</w:t>
        <w:br/>
      </w:r>
    </w:p>
    <w:p>
      <w:pPr>
        <w:pStyle w:val="Normal"/>
        <w:numPr>
          <w:ilvl w:val="0"/>
          <w:numId w:val="7"/>
        </w:numPr>
        <w:rPr>
          <w:b/>
        </w:rPr>
      </w:pPr>
      <w:r>
        <w:rPr/>
        <w:t>With respect to each turbine generator unit, the “RTS Date” set forth in Appendix D means the date upon which the major components of that unit are available for shipment from the Seller’s manufacturing facility.</w:t>
      </w:r>
    </w:p>
    <w:p>
      <w:pPr>
        <w:pStyle w:val="Normal"/>
        <w:rPr>
          <w:b/>
        </w:rPr>
      </w:pPr>
      <w:r>
        <w:rPr>
          <w:b/>
        </w:rPr>
      </w:r>
    </w:p>
    <w:p>
      <w:pPr>
        <w:pStyle w:val="Normal"/>
        <w:numPr>
          <w:ilvl w:val="0"/>
          <w:numId w:val="7"/>
        </w:numPr>
        <w:rPr>
          <w:b/>
        </w:rPr>
      </w:pPr>
      <w:r>
        <w:rPr/>
        <w:t xml:space="preserve">It is expressly understood that the Seller will have the right to utilize all resources within its global manufacturing and vendor network to supply the requirements of this Agreement and resulting Contract of Sale. </w:t>
      </w:r>
    </w:p>
    <w:p>
      <w:pPr>
        <w:pStyle w:val="Normal"/>
        <w:rPr>
          <w:b/>
        </w:rPr>
      </w:pPr>
      <w:r>
        <w:rPr>
          <w:b/>
        </w:rPr>
      </w:r>
    </w:p>
    <w:p>
      <w:pPr>
        <w:pStyle w:val="Normal"/>
        <w:ind w:hanging="720" w:start="720" w:end="0"/>
        <w:rPr>
          <w:b/>
        </w:rPr>
      </w:pPr>
      <w:r>
        <w:rPr>
          <w:b/>
        </w:rPr>
        <w:t>(d)</w:t>
      </w:r>
      <w:r>
        <w:rPr/>
        <w:tab/>
        <w:t>After the conditions set forth in section 3(a) above have been fulfilled, the Buyer shall have no right to suspend or delay manufacture or delivery of the Equipment under this Agreement or the subsequent Contract of Sale.</w:t>
      </w:r>
    </w:p>
    <w:p>
      <w:pPr>
        <w:pStyle w:val="Heading1"/>
        <w:ind w:hanging="0" w:start="0"/>
        <w:rPr/>
      </w:pPr>
      <w:bookmarkStart w:id="10" w:name="__RefHeading___Toc503095897"/>
      <w:bookmarkStart w:id="11" w:name="_Ref362852147"/>
      <w:bookmarkStart w:id="12" w:name="_Ref362852138"/>
      <w:bookmarkStart w:id="13" w:name="_Ref362852131"/>
      <w:bookmarkStart w:id="14" w:name="_Ref362852115"/>
      <w:bookmarkStart w:id="15" w:name="_Ref362852091"/>
      <w:bookmarkStart w:id="16" w:name="_Ref362852063"/>
      <w:bookmarkStart w:id="17" w:name="_Ref362852051"/>
      <w:bookmarkStart w:id="18" w:name="_Ref362852073"/>
      <w:bookmarkEnd w:id="10"/>
      <w:r>
        <w:rPr/>
        <w:t>Obligation to Proceed.</w:t>
      </w:r>
      <w:bookmarkEnd w:id="11"/>
      <w:bookmarkEnd w:id="12"/>
      <w:bookmarkEnd w:id="13"/>
      <w:bookmarkEnd w:id="14"/>
      <w:bookmarkEnd w:id="15"/>
      <w:bookmarkEnd w:id="16"/>
      <w:bookmarkEnd w:id="17"/>
    </w:p>
    <w:p>
      <w:pPr>
        <w:pStyle w:val="Normal"/>
        <w:rPr/>
      </w:pPr>
      <w:r>
        <w:rPr/>
        <w:t>Seller shall have no obligation to proceed with any activities related to the design or manufacture of the Units until fifteen months before the first RTS Date set forth in Appendix D.</w:t>
      </w:r>
    </w:p>
    <w:p>
      <w:pPr>
        <w:pStyle w:val="Heading1"/>
        <w:ind w:hanging="0" w:start="0"/>
        <w:rPr/>
      </w:pPr>
      <w:bookmarkStart w:id="19" w:name="_Ref362852073"/>
      <w:bookmarkStart w:id="20" w:name="__RefHeading___Toc503095898"/>
      <w:bookmarkEnd w:id="20"/>
      <w:r>
        <w:rPr/>
        <w:t>Termination.</w:t>
      </w:r>
      <w:bookmarkEnd w:id="19"/>
    </w:p>
    <w:p>
      <w:pPr>
        <w:pStyle w:val="BodyTextIndent"/>
        <w:rPr/>
      </w:pPr>
      <w:r>
        <w:rPr>
          <w:b/>
        </w:rPr>
        <w:t>(a)</w:t>
      </w:r>
      <w:r>
        <w:rPr/>
        <w:tab/>
        <w:t>This Agreement shall come into force and effect on the day upon which Seller receives the Order Commitment Payment from the Buyer (the “Effective Date”).</w:t>
      </w:r>
    </w:p>
    <w:p>
      <w:pPr>
        <w:pStyle w:val="Normal"/>
        <w:ind w:hanging="720" w:start="720" w:end="0"/>
        <w:rPr/>
      </w:pPr>
      <w:r>
        <w:rPr/>
      </w:r>
    </w:p>
    <w:p>
      <w:pPr>
        <w:pStyle w:val="Normal"/>
        <w:ind w:hanging="720" w:start="720" w:end="0"/>
        <w:rPr/>
      </w:pPr>
      <w:r>
        <w:rPr>
          <w:b/>
        </w:rPr>
        <w:t>(b)</w:t>
      </w:r>
      <w:r>
        <w:rPr/>
        <w:tab/>
        <w:t xml:space="preserve">This Agreement shall terminate:  </w:t>
      </w:r>
    </w:p>
    <w:p>
      <w:pPr>
        <w:pStyle w:val="Normal"/>
        <w:rPr/>
      </w:pPr>
      <w:r>
        <w:rPr/>
      </w:r>
    </w:p>
    <w:p>
      <w:pPr>
        <w:pStyle w:val="Normal"/>
        <w:ind w:start="720" w:end="0"/>
        <w:rPr/>
      </w:pPr>
      <w:r>
        <w:rPr/>
        <w:t>(1)  upon execution by the Parties of the Contract of Sale; or</w:t>
      </w:r>
    </w:p>
    <w:p>
      <w:pPr>
        <w:pStyle w:val="Normal"/>
        <w:ind w:start="720" w:end="0"/>
        <w:rPr/>
      </w:pPr>
      <w:r>
        <w:rPr/>
      </w:r>
    </w:p>
    <w:p>
      <w:pPr>
        <w:pStyle w:val="Normal"/>
        <w:ind w:hanging="360" w:start="1080" w:end="0"/>
        <w:rPr/>
      </w:pPr>
      <w:r>
        <w:rPr/>
        <w:t>(2)  fifteen days after receipt by Seller of written notice by Buyer that the Buyer wishes to terminate this Agreement;</w:t>
      </w:r>
    </w:p>
    <w:p>
      <w:pPr>
        <w:pStyle w:val="Normal"/>
        <w:ind w:start="720" w:end="0"/>
        <w:rPr/>
      </w:pPr>
      <w:r>
        <w:rPr/>
      </w:r>
    </w:p>
    <w:p>
      <w:pPr>
        <w:pStyle w:val="Normal"/>
        <w:numPr>
          <w:ilvl w:val="0"/>
          <w:numId w:val="4"/>
        </w:numPr>
        <w:rPr/>
      </w:pPr>
      <w:r>
        <w:rPr/>
        <w:t>upon written agreement of the  Parties terminate this Agreement; or</w:t>
      </w:r>
    </w:p>
    <w:p>
      <w:pPr>
        <w:pStyle w:val="Normal"/>
        <w:ind w:start="720" w:end="0"/>
        <w:rPr/>
      </w:pPr>
      <w:r>
        <w:rPr/>
      </w:r>
    </w:p>
    <w:p>
      <w:pPr>
        <w:pStyle w:val="Normal"/>
        <w:numPr>
          <w:ilvl w:val="0"/>
          <w:numId w:val="4"/>
        </w:numPr>
        <w:rPr/>
      </w:pPr>
      <w:r>
        <w:rPr/>
        <w:t>January 31, 2001  if the Contract of Sale has not then been executed by the Parties,</w:t>
      </w:r>
    </w:p>
    <w:p>
      <w:pPr>
        <w:pStyle w:val="Normal"/>
        <w:rPr>
          <w:b/>
        </w:rPr>
      </w:pPr>
      <w:r>
        <w:rPr>
          <w:b/>
        </w:rPr>
      </w:r>
    </w:p>
    <w:p>
      <w:pPr>
        <w:pStyle w:val="Normal"/>
        <w:ind w:start="720" w:end="0"/>
        <w:rPr/>
      </w:pPr>
      <w:r>
        <w:rPr/>
        <w:t>whichever shall first occur.</w:t>
      </w:r>
    </w:p>
    <w:p>
      <w:pPr>
        <w:pStyle w:val="Normal"/>
        <w:ind w:start="720" w:end="0"/>
        <w:rPr/>
      </w:pPr>
      <w:r>
        <w:rPr/>
      </w:r>
    </w:p>
    <w:p>
      <w:pPr>
        <w:pStyle w:val="Normal"/>
        <w:ind w:start="720" w:end="0"/>
        <w:rPr/>
      </w:pPr>
      <w:r>
        <w:rPr/>
        <w:t>In the event of termination pursuant to clause 7(b) (other than subclause 7(b)(1)), Buyer shall pay Seller the amount determined by reference to the Payment and Termination Schedule set forth in Appendix D.  Payments made against the purchase price shall be credited against the termination payment, provided that the Seller shall in any event be entitled to retain the Order Commitment Payment.  The foregoing shall constitute Buyer’s and Seller’s sole obligation upon termination after the Effective Date.  Upon fulfillment of these obligations, neither Party shall have any liability to the other Party with respect to this Agreement, the Proposal or the Project whether in contract, warranty, tort (including negligence) or otherwise.</w:t>
      </w:r>
    </w:p>
    <w:p>
      <w:pPr>
        <w:pStyle w:val="Heading1"/>
        <w:ind w:hanging="0" w:start="0"/>
        <w:rPr/>
      </w:pPr>
      <w:bookmarkStart w:id="21" w:name="__RefHeading___Toc503095899"/>
      <w:bookmarkEnd w:id="21"/>
      <w:r>
        <w:rPr/>
        <w:t>Waiver of Consequential Damages.</w:t>
      </w:r>
    </w:p>
    <w:p>
      <w:pPr>
        <w:pStyle w:val="Normal"/>
        <w:rPr/>
      </w:pPr>
      <w:r>
        <w:rPr/>
        <w:t>Neither Party shall be liable to the other Party under this Agreement for any consequential, incidental or indirect damages whatsoever, including but not limited to loss of profit or revenues, loss of use of the Units or of any associated equipment, cost of capital, cost of substitute equipment, facilities, services or replacement power, downtime costs or claims of Buyer’s customers.</w:t>
      </w:r>
    </w:p>
    <w:p>
      <w:pPr>
        <w:pStyle w:val="Heading1"/>
        <w:ind w:hanging="0" w:start="0"/>
        <w:rPr/>
      </w:pPr>
      <w:bookmarkStart w:id="22" w:name="__RefHeading___Toc503095900"/>
      <w:bookmarkEnd w:id="22"/>
      <w:r>
        <w:rPr/>
        <w:t>Governing Law.</w:t>
      </w:r>
    </w:p>
    <w:p>
      <w:pPr>
        <w:pStyle w:val="Normal"/>
        <w:spacing w:lineRule="auto" w:line="300"/>
        <w:jc w:val="both"/>
        <w:rPr/>
      </w:pPr>
      <w:r>
        <w:rPr/>
        <w:t>This Agreement, its interpretation and any disputes relating to, arising out of or connected with this Agreement, shall be governed by the laws of the State of New York, without regard to its conflicts of law provisions.</w:t>
      </w:r>
    </w:p>
    <w:p>
      <w:pPr>
        <w:pStyle w:val="Normal"/>
        <w:rPr/>
      </w:pPr>
      <w:r>
        <w:rPr/>
      </w:r>
    </w:p>
    <w:p>
      <w:pPr>
        <w:pStyle w:val="Heading1"/>
        <w:ind w:hanging="0" w:start="0"/>
        <w:rPr/>
      </w:pPr>
      <w:r>
        <w:rPr/>
        <w:t>Entire Agreement.</w:t>
      </w:r>
    </w:p>
    <w:p>
      <w:pPr>
        <w:pStyle w:val="Normal"/>
        <w:rPr/>
      </w:pPr>
      <w:r>
        <w:rPr/>
        <w:t>This Agreement together with the Appendices hereto contains the entire agreement of the Parties with respect to the subject matter hereof.  All prior, correspondence, negotiations and agreements, oral or written, among the Parties with respect to the subject matter hereof are superseded by this Agreement.</w:t>
      </w:r>
      <w:r>
        <w:br w:type="page"/>
      </w:r>
    </w:p>
    <w:p>
      <w:pPr>
        <w:pStyle w:val="Normal"/>
        <w:tabs>
          <w:tab w:val="clear" w:pos="720"/>
          <w:tab w:val="left" w:pos="567" w:leader="none"/>
        </w:tabs>
        <w:rPr/>
      </w:pPr>
      <w:r>
        <w:rPr/>
      </w:r>
    </w:p>
    <w:p>
      <w:pPr>
        <w:pStyle w:val="Normal"/>
        <w:rPr/>
      </w:pPr>
      <w:r>
        <w:rPr>
          <w:b/>
        </w:rPr>
        <w:tab/>
        <w:t>IN WITNESS WHEREOF,</w:t>
      </w:r>
      <w:r>
        <w:rPr/>
        <w:t xml:space="preserve"> the Parties have caused this Agreement to be executed by this respective authorized representatives as of the date first set forth above.</w:t>
      </w:r>
    </w:p>
    <w:p>
      <w:pPr>
        <w:pStyle w:val="Normal"/>
        <w:tabs>
          <w:tab w:val="clear" w:pos="720"/>
          <w:tab w:val="left" w:pos="567" w:leader="none"/>
        </w:tabs>
        <w:rPr/>
      </w:pPr>
      <w:r>
        <w:rPr/>
      </w:r>
    </w:p>
    <w:p>
      <w:pPr>
        <w:pStyle w:val="Normal"/>
        <w:tabs>
          <w:tab w:val="clear" w:pos="720"/>
          <w:tab w:val="left" w:pos="567" w:leader="none"/>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b/>
              </w:rPr>
            </w:pPr>
            <w:r>
              <w:rPr>
                <w:b/>
              </w:rPr>
              <w:t>GENERAL ELECTRIC COMPANY</w:t>
            </w:r>
          </w:p>
          <w:p>
            <w:pPr>
              <w:pStyle w:val="Normal"/>
              <w:rPr/>
            </w:pPr>
            <w:r>
              <w:rPr/>
            </w:r>
          </w:p>
          <w:p>
            <w:pPr>
              <w:pStyle w:val="Normal"/>
              <w:rPr/>
            </w:pPr>
            <w:r>
              <w:rPr/>
              <w:t>By:  _________________________</w:t>
            </w:r>
          </w:p>
          <w:p>
            <w:pPr>
              <w:pStyle w:val="Normal"/>
              <w:rPr/>
            </w:pPr>
            <w:r>
              <w:rPr/>
            </w:r>
          </w:p>
          <w:p>
            <w:pPr>
              <w:pStyle w:val="Normal"/>
              <w:rPr/>
            </w:pPr>
            <w:r>
              <w:rPr/>
              <w:t>Name:  _______________________</w:t>
            </w:r>
          </w:p>
          <w:p>
            <w:pPr>
              <w:pStyle w:val="Normal"/>
              <w:rPr/>
            </w:pPr>
            <w:r>
              <w:rPr/>
            </w:r>
          </w:p>
          <w:p>
            <w:pPr>
              <w:pStyle w:val="Normal"/>
              <w:rPr/>
            </w:pPr>
            <w:r>
              <w:rPr/>
              <w:t>Title:  ________________________</w:t>
            </w:r>
          </w:p>
          <w:p>
            <w:pPr>
              <w:pStyle w:val="Normal"/>
              <w:rPr/>
            </w:pPr>
            <w:r>
              <w:rPr/>
            </w:r>
          </w:p>
        </w:tc>
        <w:tc>
          <w:tcPr>
            <w:tcW w:w="4428" w:type="dxa"/>
            <w:tcBorders/>
          </w:tcPr>
          <w:p>
            <w:pPr>
              <w:pStyle w:val="Heading2"/>
              <w:snapToGrid w:val="false"/>
              <w:spacing w:before="0" w:after="0"/>
              <w:rPr/>
            </w:pPr>
            <w:r>
              <w:rPr/>
            </w:r>
          </w:p>
          <w:p>
            <w:pPr>
              <w:pStyle w:val="Heading2"/>
              <w:spacing w:before="0" w:after="0"/>
              <w:rPr/>
            </w:pPr>
            <w:bookmarkStart w:id="23" w:name="__RefHeading___Toc503095901"/>
            <w:bookmarkEnd w:id="23"/>
            <w:r>
              <w:rPr/>
              <w:t>_______________________________</w:t>
            </w:r>
          </w:p>
          <w:p>
            <w:pPr>
              <w:pStyle w:val="EndnoteText"/>
              <w:rPr/>
            </w:pPr>
            <w:r>
              <w:rPr/>
            </w:r>
          </w:p>
          <w:p>
            <w:pPr>
              <w:pStyle w:val="Normal"/>
              <w:rPr/>
            </w:pPr>
            <w:r>
              <w:rPr/>
              <w:t>By:  ___________________________</w:t>
            </w:r>
          </w:p>
          <w:p>
            <w:pPr>
              <w:pStyle w:val="Normal"/>
              <w:rPr/>
            </w:pPr>
            <w:r>
              <w:rPr/>
            </w:r>
          </w:p>
          <w:p>
            <w:pPr>
              <w:pStyle w:val="Normal"/>
              <w:rPr/>
            </w:pPr>
            <w:r>
              <w:rPr/>
              <w:t>Name:  _________________________</w:t>
            </w:r>
          </w:p>
          <w:p>
            <w:pPr>
              <w:pStyle w:val="Normal"/>
              <w:rPr/>
            </w:pPr>
            <w:r>
              <w:rPr/>
            </w:r>
          </w:p>
          <w:p>
            <w:pPr>
              <w:pStyle w:val="Normal"/>
              <w:rPr/>
            </w:pPr>
            <w:r>
              <w:rPr/>
              <w:t>Title:  __________________________</w:t>
            </w:r>
          </w:p>
          <w:p>
            <w:pPr>
              <w:pStyle w:val="Normal"/>
              <w:rPr/>
            </w:pPr>
            <w:r>
              <w:rPr/>
            </w:r>
          </w:p>
        </w:tc>
      </w:tr>
    </w:tbl>
    <w:p>
      <w:pPr>
        <w:pStyle w:val="Normal"/>
        <w:tabs>
          <w:tab w:val="clear" w:pos="720"/>
          <w:tab w:val="left" w:pos="4500" w:leader="none"/>
        </w:tabs>
        <w:rPr/>
      </w:pPr>
      <w:r>
        <w:rPr/>
      </w:r>
    </w:p>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pPr>
    <w:r>
      <w:rPr>
        <w:sz w:val="16"/>
      </w:rPr>
      <w:t>Enron DFSS IV</w:t>
      <w:tab/>
    </w:r>
    <w:r>
      <w:rPr>
        <w:rStyle w:val="PageNumber"/>
      </w:rPr>
      <w:t>GE PROPRIETARY INFORMATION</w:t>
    </w:r>
    <w:r>
      <w:rPr>
        <w:sz w:val="16"/>
      </w:rPr>
      <w:t xml:space="preserve"> </w:t>
    </w:r>
  </w:p>
  <w:p>
    <w:pPr>
      <w:pStyle w:val="Normal"/>
      <w:rPr>
        <w:sz w:val="16"/>
      </w:rPr>
    </w:pP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70" w:leader="none"/>
      </w:tabs>
      <w:rPr/>
    </w:pPr>
    <w:r>
      <w:rPr/>
      <w:fldChar w:fldCharType="begin"/>
    </w:r>
    <w:r>
      <w:rPr/>
      <w:instrText xml:space="preserve"> FILENAME </w:instrText>
    </w:r>
    <w:r>
      <w:rPr/>
      <w:fldChar w:fldCharType="separate"/>
    </w:r>
    <w:r>
      <w:rPr/>
      <w:t>TPA_Rev_Draft.doc</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ab/>
      <w:t>GE PROPRIETARY INFORMATION</w:t>
    </w:r>
  </w:p>
  <w:p>
    <w:pPr>
      <w:pStyle w:val="Footer"/>
      <w:tabs>
        <w:tab w:val="clear" w:pos="8640"/>
        <w:tab w:val="center" w:pos="4320" w:leader="none"/>
        <w:tab w:val="right" w:pos="9360" w:leader="none"/>
      </w:tabs>
      <w:rPr/>
    </w:pPr>
    <w:r>
      <w:rPr/>
      <w:fldChar w:fldCharType="begin"/>
    </w:r>
    <w:r>
      <w:rPr/>
      <w:instrText xml:space="preserve"> DATE \@"MMMM\ d', 'yyyy" </w:instrText>
    </w:r>
    <w:r>
      <w:rPr/>
      <w:fldChar w:fldCharType="separate"/>
    </w:r>
    <w:r>
      <w:rPr/>
      <w:t>September 28, 2025</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fldChar w:fldCharType="begin"/>
    </w:r>
    <w:r>
      <w:rPr/>
      <w:instrText xml:space="preserve"> FILENAME </w:instrText>
    </w:r>
    <w:r>
      <w:rPr/>
      <w:fldChar w:fldCharType="separate"/>
    </w:r>
    <w:r>
      <w:rPr/>
      <w:t>TPA_Rev_Draft.doc</w:t>
    </w:r>
    <w:r>
      <w:rPr/>
      <w:fldChar w:fldCharType="end"/>
    </w:r>
    <w:r>
      <w:rPr/>
      <w:tab/>
      <w:tab/>
    </w:r>
    <w:r>
      <w:rPr>
        <w:sz w:val="22"/>
      </w:rPr>
      <w:t>GE PROPRIETARY INFORMATION</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rPr/>
    </w:pPr>
    <w:r>
      <w:rPr/>
      <w:fldChar w:fldCharType="begin"/>
    </w:r>
    <w:r>
      <w:rPr/>
      <w:instrText xml:space="preserve"> DATE \@"MMMM\ d', 'yyyy" </w:instrText>
    </w:r>
    <w:r>
      <w:rPr/>
      <w:fldChar w:fldCharType="separate"/>
    </w:r>
    <w:r>
      <w:rPr/>
      <w:t>September 28, 2025</w:t>
    </w:r>
    <w:r>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lowerLetter"/>
      <w:lvlText w:val="(%1)"/>
      <w:lvlJc w:val="start"/>
      <w:pPr>
        <w:tabs>
          <w:tab w:val="num" w:pos="720"/>
        </w:tabs>
        <w:ind w:start="720" w:hanging="720"/>
      </w:pPr>
      <w:rPr>
        <w:b/>
      </w:rPr>
    </w:lvl>
  </w:abstractNum>
  <w:abstractNum w:abstractNumId="3">
    <w:lvl w:ilvl="0">
      <w:start w:val="1"/>
      <w:numFmt w:val="lowerLetter"/>
      <w:lvlText w:val="(%1) "/>
      <w:lvlJc w:val="start"/>
      <w:pPr>
        <w:tabs>
          <w:tab w:val="num" w:pos="360"/>
        </w:tabs>
        <w:ind w:start="360" w:hanging="360"/>
      </w:pPr>
      <w:rPr>
        <w:sz w:val="22"/>
        <w:i w:val="false"/>
        <w:b/>
      </w:rPr>
    </w:lvl>
  </w:abstractNum>
  <w:abstractNum w:abstractNumId="4">
    <w:lvl w:ilvl="0">
      <w:start w:val="3"/>
      <w:numFmt w:val="decimal"/>
      <w:lvlText w:val="(%1) "/>
      <w:lvlJc w:val="start"/>
      <w:pPr>
        <w:tabs>
          <w:tab w:val="num" w:pos="360"/>
        </w:tabs>
        <w:ind w:start="1080" w:hanging="360"/>
      </w:pPr>
      <w:rPr>
        <w:sz w:val="22"/>
        <w:i w:val="false"/>
        <w:b w:val="false"/>
      </w:rPr>
    </w:lvl>
  </w:abstractNum>
  <w:abstractNum w:abstractNumId="5">
    <w:lvl w:ilvl="0">
      <w:start w:val="1"/>
      <w:numFmt w:val="lowerLetter"/>
      <w:lvlText w:val="(%1)"/>
      <w:lvlJc w:val="start"/>
      <w:pPr>
        <w:tabs>
          <w:tab w:val="num" w:pos="720"/>
        </w:tabs>
        <w:ind w:start="720" w:hanging="720"/>
      </w:pPr>
      <w:rPr>
        <w:i w:val="false"/>
        <w:b/>
      </w:rPr>
    </w:lvl>
  </w:abstractNum>
  <w:abstractNum w:abstractNumId="6">
    <w:lvl w:ilvl="0">
      <w:start w:val="1"/>
      <w:numFmt w:val="decimal"/>
      <w:lvlText w:val="(%1)"/>
      <w:lvlJc w:val="start"/>
      <w:pPr>
        <w:tabs>
          <w:tab w:val="num" w:pos="360"/>
        </w:tabs>
        <w:ind w:start="360" w:hanging="360"/>
      </w:pPr>
    </w:lvl>
  </w:abstractNum>
  <w:abstractNum w:abstractNumId="7">
    <w:lvl w:ilvl="0">
      <w:start w:val="2"/>
      <w:numFmt w:val="lowerLetter"/>
      <w:lvlText w:val="(%1)"/>
      <w:lvlJc w:val="start"/>
      <w:pPr>
        <w:tabs>
          <w:tab w:val="num" w:pos="720"/>
        </w:tabs>
        <w:ind w:start="720" w:hanging="72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BodyText"/>
    <w:qFormat/>
    <w:pPr>
      <w:keepNext w:val="true"/>
      <w:numPr>
        <w:ilvl w:val="0"/>
        <w:numId w:val="1"/>
      </w:numPr>
      <w:spacing w:before="200" w:after="200"/>
      <w:jc w:val="center"/>
      <w:outlineLvl w:val="0"/>
    </w:pPr>
    <w:rPr>
      <w:b/>
      <w:kern w:val="2"/>
    </w:rPr>
  </w:style>
  <w:style w:type="paragraph" w:styleId="Heading2">
    <w:name w:val="heading 2"/>
    <w:basedOn w:val="Normal"/>
    <w:next w:val="BodyText"/>
    <w:qFormat/>
    <w:pPr>
      <w:keepNext w:val="true"/>
      <w:spacing w:before="200" w:after="200"/>
      <w:outlineLvl w:val="1"/>
    </w:pPr>
    <w:rPr>
      <w:b/>
    </w:rPr>
  </w:style>
  <w:style w:type="paragraph" w:styleId="Heading3">
    <w:name w:val="heading 3"/>
    <w:basedOn w:val="Normal"/>
    <w:next w:val="BodyText"/>
    <w:qFormat/>
    <w:pPr>
      <w:keepNext w:val="true"/>
      <w:spacing w:before="200" w:after="200"/>
      <w:outlineLvl w:val="2"/>
    </w:pPr>
    <w:rPr>
      <w:i/>
    </w:rPr>
  </w:style>
  <w:style w:type="paragraph" w:styleId="Heading4">
    <w:name w:val="heading 4"/>
    <w:basedOn w:val="Normal"/>
    <w:next w:val="Normal"/>
    <w:qFormat/>
    <w:pPr>
      <w:keepNext w:val="true"/>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1z0">
    <w:name w:val="WW8Num1z0"/>
    <w:qFormat/>
    <w:rPr>
      <w:b/>
    </w:rPr>
  </w:style>
  <w:style w:type="character" w:styleId="WW8Num4z0">
    <w:name w:val="WW8Num4z0"/>
    <w:qFormat/>
    <w:rPr>
      <w:b/>
      <w:i w:val="false"/>
      <w:sz w:val="22"/>
    </w:rPr>
  </w:style>
  <w:style w:type="character" w:styleId="WW8Num5z0">
    <w:name w:val="WW8Num5z0"/>
    <w:qFormat/>
    <w:rPr>
      <w:b w:val="false"/>
      <w:i w:val="false"/>
      <w:sz w:val="22"/>
    </w:rPr>
  </w:style>
  <w:style w:type="character" w:styleId="WW8Num6z0">
    <w:name w:val="WW8Num6z0"/>
    <w:qFormat/>
    <w:rPr>
      <w:b/>
      <w:i w:val="false"/>
    </w:rPr>
  </w:style>
  <w:style w:type="character" w:styleId="WW8Num9z0">
    <w:name w:val="WW8Num9z0"/>
    <w:qFormat/>
    <w:rPr>
      <w:rFonts w:ascii="Times New Roman" w:hAnsi="Times New Roman" w:cs="Times New Roman"/>
      <w:b w:val="false"/>
      <w:i w:val="false"/>
      <w:sz w:val="22"/>
      <w:u w:val="none"/>
    </w:rPr>
  </w:style>
  <w:style w:type="character" w:styleId="WW8Num10z0">
    <w:name w:val="WW8Num10z0"/>
    <w:qFormat/>
    <w:rPr>
      <w:b/>
      <w:i w:val="false"/>
    </w:rPr>
  </w:style>
  <w:style w:type="character" w:styleId="WW8NumSt2z0">
    <w:name w:val="WW8NumSt2z0"/>
    <w:qFormat/>
    <w:rPr>
      <w:rFonts w:ascii="Times New Roman" w:hAnsi="Times New Roman" w:cs="Times New Roman"/>
      <w:b/>
      <w:i w:val="false"/>
      <w:sz w:val="22"/>
      <w:u w:val="none"/>
    </w:rPr>
  </w:style>
  <w:style w:type="character" w:styleId="WW8NumSt6z0">
    <w:name w:val="WW8NumSt6z0"/>
    <w:qFormat/>
    <w:rPr>
      <w:rFonts w:ascii="Times New Roman" w:hAnsi="Times New Roman" w:cs="Times New Roman"/>
      <w:b w:val="false"/>
      <w:i w:val="false"/>
      <w:sz w:val="22"/>
      <w:u w:val="none"/>
    </w:rPr>
  </w:style>
  <w:style w:type="character" w:styleId="WW8NumSt13z0">
    <w:name w:val="WW8NumSt13z0"/>
    <w:qFormat/>
    <w:rPr>
      <w:b/>
      <w:i w:val="fals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caps/>
      <w:kern w:val="2"/>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pacing w:before="120" w:after="160"/>
      <w:jc w:val="center"/>
    </w:pPr>
    <w:rPr>
      <w:b/>
      <w:cap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16"/>
    </w:rPr>
  </w:style>
  <w:style w:type="paragraph" w:styleId="Footer">
    <w:name w:val="footer"/>
    <w:basedOn w:val="Normal"/>
    <w:pPr>
      <w:tabs>
        <w:tab w:val="clear" w:pos="720"/>
        <w:tab w:val="center" w:pos="4320" w:leader="none"/>
        <w:tab w:val="right" w:pos="8640" w:leader="none"/>
      </w:tabs>
    </w:pPr>
    <w:rPr>
      <w:sz w:val="16"/>
    </w:rPr>
  </w:style>
  <w:style w:type="paragraph" w:styleId="cent1">
    <w:name w:val="cent1"/>
    <w:qFormat/>
    <w:pPr>
      <w:widowControl/>
      <w:suppressLineNumbers/>
      <w:bidi w:val="0"/>
      <w:jc w:val="center"/>
    </w:pPr>
    <w:rPr>
      <w:rFonts w:ascii="Times;Times New Roman" w:hAnsi="Times;Times New Roman" w:eastAsia="Times New Roman" w:cs="Times;Times New Roman"/>
      <w:b/>
      <w:color w:val="auto"/>
      <w:sz w:val="24"/>
      <w:szCs w:val="20"/>
      <w:lang w:val="en-US" w:eastAsia="zh-CN" w:bidi="hi-IN"/>
    </w:rPr>
  </w:style>
  <w:style w:type="paragraph" w:styleId="para5">
    <w:name w:val="para5"/>
    <w:qFormat/>
    <w:pPr>
      <w:widowControl/>
      <w:suppressLineNumbers/>
      <w:bidi w:val="0"/>
      <w:ind w:hanging="0" w:start="760" w:end="0"/>
    </w:pPr>
    <w:rPr>
      <w:rFonts w:ascii="Times;Times New Roman" w:hAnsi="Times;Times New Roman" w:eastAsia="Times New Roman" w:cs="Times;Times New Roman"/>
      <w:color w:val="auto"/>
      <w:sz w:val="20"/>
      <w:szCs w:val="20"/>
      <w:lang w:val="en-US" w:eastAsia="zh-CN" w:bidi="hi-IN"/>
    </w:rPr>
  </w:style>
  <w:style w:type="paragraph" w:styleId="para3">
    <w:name w:val="para3"/>
    <w:qFormat/>
    <w:pPr>
      <w:widowControl/>
      <w:suppressLineNumbers/>
      <w:tabs>
        <w:tab w:val="clear" w:pos="720"/>
        <w:tab w:val="left" w:pos="760" w:leader="none"/>
      </w:tabs>
      <w:bidi w:val="0"/>
      <w:ind w:hanging="760" w:start="760" w:end="0"/>
    </w:pPr>
    <w:rPr>
      <w:rFonts w:ascii="Times;Times New Roman" w:hAnsi="Times;Times New Roman" w:eastAsia="Times New Roman" w:cs="Times;Times New Roman"/>
      <w:color w:val="auto"/>
      <w:sz w:val="20"/>
      <w:szCs w:val="20"/>
      <w:lang w:val="en-US" w:eastAsia="zh-CN" w:bidi="hi-IN"/>
    </w:rPr>
  </w:style>
  <w:style w:type="paragraph" w:styleId="para2">
    <w:name w:val="para2"/>
    <w:qFormat/>
    <w:pPr>
      <w:widowControl/>
      <w:suppressLineNumbers/>
      <w:bidi w:val="0"/>
    </w:pPr>
    <w:rPr>
      <w:rFonts w:ascii="Times;Times New Roman" w:hAnsi="Times;Times New Roman" w:eastAsia="Times New Roman" w:cs="Times;Times New Roman"/>
      <w:color w:val="auto"/>
      <w:sz w:val="20"/>
      <w:szCs w:val="20"/>
      <w:lang w:val="en-US" w:eastAsia="zh-CN" w:bidi="hi-IN"/>
    </w:rPr>
  </w:style>
  <w:style w:type="paragraph" w:styleId="Subtitle">
    <w:name w:val="Subtitle"/>
    <w:basedOn w:val="Normal"/>
    <w:next w:val="BodyText"/>
    <w:qFormat/>
    <w:pPr>
      <w:jc w:val="center"/>
    </w:pPr>
    <w:rPr>
      <w:b/>
    </w:rPr>
  </w:style>
  <w:style w:type="paragraph" w:styleId="TableofAuthorities">
    <w:name w:val="Table of Authorities"/>
    <w:basedOn w:val="Normal"/>
    <w:qFormat/>
    <w:pPr>
      <w:tabs>
        <w:tab w:val="clear" w:pos="720"/>
        <w:tab w:val="right" w:pos="8640" w:leader="dot"/>
      </w:tabs>
      <w:ind w:hanging="360" w:start="36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2"/>
      <w:szCs w:val="20"/>
      <w:lang w:val="en-US" w:eastAsia="zh-CN" w:bidi="hi-IN"/>
    </w:rPr>
  </w:style>
  <w:style w:type="paragraph" w:styleId="MessageHeader">
    <w:name w:val="Message Header"/>
    <w:basedOn w:val="Normal"/>
    <w:next w:val="Normal"/>
    <w:qFormat/>
    <w:pPr>
      <w:ind w:hanging="1080" w:start="1080" w:end="0"/>
    </w:pPr>
    <w:rPr/>
  </w:style>
  <w:style w:type="paragraph" w:styleId="NormalIndent">
    <w:name w:val="Normal Indent"/>
    <w:basedOn w:val="Normal"/>
    <w:qFormat/>
    <w:pPr>
      <w:ind w:hanging="0" w:start="720" w:end="0"/>
    </w:pPr>
    <w:rPr/>
  </w:style>
  <w:style w:type="paragraph" w:styleId="TOAHeading">
    <w:name w:val="TOA Heading"/>
    <w:basedOn w:val="Normal"/>
    <w:qFormat/>
    <w:pPr>
      <w:keepNext w:val="true"/>
      <w:keepLines/>
      <w:tabs>
        <w:tab w:val="clear" w:pos="720"/>
        <w:tab w:val="right" w:pos="9360" w:leader="dot"/>
      </w:tabs>
      <w:ind w:hanging="504" w:start="504" w:end="0"/>
    </w:pPr>
    <w:rPr>
      <w:b/>
      <w:kern w:val="2"/>
    </w:rPr>
  </w:style>
  <w:style w:type="paragraph" w:styleId="TOC9">
    <w:name w:val="toc 9"/>
    <w:basedOn w:val="Normal"/>
    <w:next w:val="Normal"/>
    <w:pPr>
      <w:tabs>
        <w:tab w:val="clear" w:pos="720"/>
        <w:tab w:val="right" w:pos="9360" w:leader="dot"/>
      </w:tabs>
      <w:ind w:hanging="0" w:start="1540" w:end="0"/>
    </w:pPr>
    <w:rPr>
      <w:sz w:val="18"/>
    </w:rPr>
  </w:style>
  <w:style w:type="paragraph" w:styleId="BodyText2">
    <w:name w:val="Body Text 2"/>
    <w:basedOn w:val="Normal"/>
    <w:qFormat/>
    <w:pPr/>
    <w:rPr/>
  </w:style>
  <w:style w:type="paragraph" w:styleId="EndnoteText">
    <w:name w:val="endnote text"/>
    <w:basedOn w:val="Normal"/>
    <w:pPr/>
    <w:rPr/>
  </w:style>
  <w:style w:type="paragraph" w:styleId="TOC1">
    <w:name w:val="toc 1"/>
    <w:basedOn w:val="Normal"/>
    <w:pPr>
      <w:tabs>
        <w:tab w:val="clear" w:pos="720"/>
        <w:tab w:val="right" w:pos="9360" w:leader="dot"/>
      </w:tabs>
      <w:spacing w:before="120" w:after="120"/>
    </w:pPr>
    <w:rPr>
      <w:b/>
      <w:caps/>
      <w:sz w:val="20"/>
    </w:rPr>
  </w:style>
  <w:style w:type="paragraph" w:styleId="TOC2">
    <w:name w:val="toc 2"/>
    <w:basedOn w:val="Normal"/>
    <w:pPr>
      <w:tabs>
        <w:tab w:val="clear" w:pos="720"/>
        <w:tab w:val="right" w:pos="9360" w:leader="dot"/>
      </w:tabs>
    </w:pPr>
    <w:rPr>
      <w:smallCaps/>
      <w:sz w:val="20"/>
    </w:rPr>
  </w:style>
  <w:style w:type="paragraph" w:styleId="TOC3">
    <w:name w:val="toc 3"/>
    <w:basedOn w:val="Normal"/>
    <w:pPr>
      <w:tabs>
        <w:tab w:val="clear" w:pos="720"/>
        <w:tab w:val="right" w:pos="9360" w:leader="dot"/>
      </w:tabs>
      <w:ind w:hanging="0" w:start="220" w:end="0"/>
    </w:pPr>
    <w:rPr>
      <w:i/>
      <w:sz w:val="20"/>
    </w:rPr>
  </w:style>
  <w:style w:type="paragraph" w:styleId="TOC4">
    <w:name w:val="toc 4"/>
    <w:basedOn w:val="Normal"/>
    <w:next w:val="Normal"/>
    <w:pPr>
      <w:tabs>
        <w:tab w:val="clear" w:pos="720"/>
        <w:tab w:val="right" w:pos="9360" w:leader="dot"/>
      </w:tabs>
      <w:ind w:hanging="0" w:start="440" w:end="0"/>
    </w:pPr>
    <w:rPr>
      <w:sz w:val="18"/>
    </w:rPr>
  </w:style>
  <w:style w:type="paragraph" w:styleId="TOC5">
    <w:name w:val="toc 5"/>
    <w:basedOn w:val="Normal"/>
    <w:next w:val="Normal"/>
    <w:pPr>
      <w:tabs>
        <w:tab w:val="clear" w:pos="720"/>
        <w:tab w:val="right" w:pos="9360" w:leader="dot"/>
      </w:tabs>
      <w:ind w:hanging="0" w:start="660" w:end="0"/>
    </w:pPr>
    <w:rPr>
      <w:sz w:val="18"/>
    </w:rPr>
  </w:style>
  <w:style w:type="paragraph" w:styleId="TOC6">
    <w:name w:val="toc 6"/>
    <w:basedOn w:val="Normal"/>
    <w:next w:val="Normal"/>
    <w:pPr>
      <w:tabs>
        <w:tab w:val="clear" w:pos="720"/>
        <w:tab w:val="right" w:pos="9360" w:leader="dot"/>
      </w:tabs>
      <w:ind w:hanging="0" w:start="880" w:end="0"/>
    </w:pPr>
    <w:rPr>
      <w:sz w:val="18"/>
    </w:rPr>
  </w:style>
  <w:style w:type="paragraph" w:styleId="TOC7">
    <w:name w:val="toc 7"/>
    <w:basedOn w:val="Normal"/>
    <w:next w:val="Normal"/>
    <w:pPr>
      <w:tabs>
        <w:tab w:val="clear" w:pos="720"/>
        <w:tab w:val="right" w:pos="9360" w:leader="dot"/>
      </w:tabs>
      <w:ind w:hanging="0" w:start="1100" w:end="0"/>
    </w:pPr>
    <w:rPr>
      <w:sz w:val="18"/>
    </w:rPr>
  </w:style>
  <w:style w:type="paragraph" w:styleId="TOC8">
    <w:name w:val="toc 8"/>
    <w:basedOn w:val="Normal"/>
    <w:next w:val="Normal"/>
    <w:pPr>
      <w:tabs>
        <w:tab w:val="clear" w:pos="720"/>
        <w:tab w:val="right" w:pos="9360" w:leader="dot"/>
      </w:tabs>
      <w:ind w:hanging="0" w:start="1320" w:end="0"/>
    </w:pPr>
    <w:rPr>
      <w:sz w:val="18"/>
    </w:rPr>
  </w:style>
  <w:style w:type="paragraph" w:styleId="TableofFigures">
    <w:name w:val="Table of Figures"/>
    <w:basedOn w:val="Normal"/>
    <w:next w:val="Normal"/>
    <w:qFormat/>
    <w:pPr>
      <w:tabs>
        <w:tab w:val="clear" w:pos="720"/>
        <w:tab w:val="right" w:pos="9360" w:leader="dot"/>
      </w:tabs>
      <w:ind w:hanging="440" w:start="440" w:end="0"/>
    </w:pPr>
    <w:rPr/>
  </w:style>
  <w:style w:type="paragraph" w:styleId="List1">
    <w:name w:val="List:1"/>
    <w:basedOn w:val="Normal"/>
    <w:qFormat/>
    <w:pPr>
      <w:tabs>
        <w:tab w:val="clear" w:pos="720"/>
        <w:tab w:val="left" w:pos="2952" w:leader="none"/>
      </w:tabs>
      <w:jc w:val="both"/>
    </w:pPr>
    <w:rPr>
      <w:rFonts w:ascii="Times;Times New Roman" w:hAnsi="Times;Times New Roman" w:cs="Times;Times New Roman"/>
    </w:rPr>
  </w:style>
  <w:style w:type="paragraph" w:styleId="Style11">
    <w:name w:val="Style1"/>
    <w:basedOn w:val="Normal"/>
    <w:qFormat/>
    <w:pPr/>
    <w:rPr/>
  </w:style>
  <w:style w:type="paragraph" w:styleId="BodyTextIndent2">
    <w:name w:val="Body Text Indent 2"/>
    <w:basedOn w:val="Normal"/>
    <w:qFormat/>
    <w:pPr>
      <w:ind w:hanging="360" w:start="1080" w:end="0"/>
    </w:pPr>
    <w:rPr/>
  </w:style>
  <w:style w:type="paragraph" w:styleId="BodyTextIndent">
    <w:name w:val="Body Text Indent"/>
    <w:basedOn w:val="Normal"/>
    <w:pPr>
      <w:ind w:hanging="720" w:start="720" w:end="0"/>
    </w:pPr>
    <w:rPr/>
  </w:style>
  <w:style w:type="paragraph" w:styleId="BodyTextIndent3">
    <w:name w:val="Body Text Indent 3"/>
    <w:basedOn w:val="Normal"/>
    <w:qFormat/>
    <w:pPr>
      <w:ind w:hanging="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2001-01-05T13:55:00Z</dcterms:created>
  <dc:creator>GE</dc:creator>
  <dc:description/>
  <dc:language>en-CA</dc:language>
  <cp:lastModifiedBy>GE</cp:lastModifiedBy>
  <cp:lastPrinted>2001-01-03T15:04:00Z</cp:lastPrinted>
  <dcterms:modified xsi:type="dcterms:W3CDTF">2001-01-05T13:55:00Z</dcterms:modified>
  <cp:revision>2</cp:revision>
  <dc:subject/>
  <dc:title>MEMORANDUM OF UNDERSTANDING</dc:title>
</cp:coreProperties>
</file>