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240" w:before="240" w:after="60"/>
        <w:jc w:val="center"/>
        <w:rPr/>
      </w:pPr>
      <w:r>
        <w:rPr/>
        <w:t>Market Structure Group</w:t>
      </w:r>
    </w:p>
    <w:p>
      <w:pPr>
        <w:pStyle w:val="Heading"/>
        <w:rPr/>
      </w:pPr>
      <w:r>
        <w:rPr/>
        <w:t>Terms of Reference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Scope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/>
        <w:t>Energy industry structure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 xml:space="preserve">Functional unbundling to increase competition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Removing barriers to competition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Horizontal and vertical integration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Market dominance and anti-competitive conduct: analysis and solutions</w:t>
      </w:r>
    </w:p>
    <w:p>
      <w:pPr>
        <w:pStyle w:val="Normal"/>
        <w:numPr>
          <w:ilvl w:val="0"/>
          <w:numId w:val="3"/>
        </w:numPr>
        <w:rPr/>
      </w:pPr>
      <w:r>
        <w:rPr/>
        <w:t>Electricity trading arrangements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Forward markets: bilateral, exchanges and auctions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Balancing regimes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Imbalance settlement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Transmission access and pricing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Objectives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The primary objective is effective advocacy that furthers Enron’s commercial objectives.  The following secondary objectives should help us to do this: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>
          <w:b/>
        </w:rPr>
        <w:t>Knowledge.</w:t>
      </w:r>
      <w:r>
        <w:rPr/>
        <w:t xml:space="preserve">  To share experience of our individual markets.  What market structure problems have we faced and how did our advocacy efforts address them?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Innovation.</w:t>
      </w:r>
      <w:r>
        <w:rPr/>
        <w:t xml:space="preserve">  By exchanging ideas, to develop innovative solutions to the regulatory problems we face.  How can we leverage our diverse international experience into new regulatory solutions for new markets and issues?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Consistency.</w:t>
      </w:r>
      <w:r>
        <w:rPr/>
        <w:t xml:space="preserve">  The credibility and effectiveness of our efforts will be improved if Enron is seen to adopt a consistent approach to market structure issues in different places and at different times. 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>Flexibility.</w:t>
      </w:r>
      <w:r>
        <w:rPr/>
        <w:t xml:space="preserve">  Within a consistent overall approach, to satisfy a diverse range of potential commercial objectives by tailoring our approach to the individual circumstances of a market.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Methods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/>
        <w:t>E-mail exchanges of useful documents dealing with market structure;</w:t>
      </w:r>
    </w:p>
    <w:p>
      <w:pPr>
        <w:pStyle w:val="Normal"/>
        <w:numPr>
          <w:ilvl w:val="0"/>
          <w:numId w:val="5"/>
        </w:numPr>
        <w:rPr/>
      </w:pPr>
      <w:r>
        <w:rPr/>
        <w:t>An initial update on the headline market structure issues being faced by each team member;</w:t>
      </w:r>
    </w:p>
    <w:p>
      <w:pPr>
        <w:pStyle w:val="Normal"/>
        <w:numPr>
          <w:ilvl w:val="0"/>
          <w:numId w:val="5"/>
        </w:numPr>
        <w:rPr/>
      </w:pPr>
      <w:r>
        <w:rPr/>
        <w:t>Canvassing and exchange of views on particular issues as they arise;</w:t>
      </w:r>
    </w:p>
    <w:p>
      <w:pPr>
        <w:pStyle w:val="Normal"/>
        <w:numPr>
          <w:ilvl w:val="0"/>
          <w:numId w:val="5"/>
        </w:numPr>
        <w:rPr/>
      </w:pPr>
      <w:r>
        <w:rPr/>
        <w:t>Meetings (video, phone or physical) to discuss key issues.</w:t>
      </w:r>
    </w:p>
    <w:p>
      <w:pPr>
        <w:pStyle w:val="Normal"/>
        <w:rPr/>
      </w:pPr>
      <w:r>
        <w:rPr/>
      </w:r>
    </w:p>
    <w:p>
      <w:pPr>
        <w:pStyle w:val="CommentTex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1" w:right="1411" w:gutter="0" w:header="706" w:top="1008" w:footer="706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altName w:val="Georgia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Style w:val="PageNumber"/>
        <w:b w:val="false"/>
        <w:sz w:val="10"/>
      </w:rPr>
    </w:pPr>
    <w:r>
      <w:rPr/>
    </w:r>
  </w:p>
  <w:p>
    <w:pPr>
      <w:pStyle w:val="Footer"/>
      <w:jc w:val="center"/>
      <w:rPr>
        <w:rStyle w:val="PageNumber"/>
        <w:b w:val="false"/>
        <w:sz w:val="16"/>
      </w:rPr>
    </w:pPr>
    <w:r>
      <w:rPr/>
    </w:r>
  </w:p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306"/>
        <w:tab w:val="center" w:pos="4153" w:leader="none"/>
        <w:tab w:val="right" w:pos="9090" w:leader="none"/>
      </w:tabs>
      <w:jc w:val="start"/>
      <w:rPr>
        <w:b/>
        <w:sz w:val="20"/>
      </w:rPr>
    </w:pPr>
    <w:r>
      <w:rPr>
        <w:sz w:val="20"/>
      </w:rPr>
      <w:drawing>
        <wp:inline distT="0" distB="0" distL="0" distR="0">
          <wp:extent cx="560705" cy="55753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ab/>
      <w:t xml:space="preserve">  </w:t>
      <w:tab/>
      <w:t xml:space="preserve"> </w:t>
    </w:r>
  </w:p>
  <w:p>
    <w:pPr>
      <w:pStyle w:val="Header"/>
      <w:pBdr>
        <w:top w:val="single" w:sz="6" w:space="1" w:color="000000"/>
      </w:pBdr>
      <w:rPr>
        <w:b/>
        <w:sz w:val="20"/>
      </w:rPr>
    </w:pPr>
    <w:r>
      <w:rPr>
        <w:b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288" w:hanging="288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vanish w:val="false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vanish w:val="false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vanish w:val="false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hadow w:val="false"/>
        <w:vanish w:val="false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271"/>
      <w:jc w:val="both"/>
    </w:pPr>
    <w:rPr>
      <w:rFonts w:ascii="Book Antiqua;Georgia" w:hAnsi="Book Antiqua;Georgia" w:eastAsia="Times New Roman" w:cs="Book Antiqua;Georgia"/>
      <w:color w:val="auto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576" w:leader="none"/>
        <w:tab w:val="left" w:pos="720" w:leader="none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tabs>
        <w:tab w:val="clear" w:pos="576"/>
        <w:tab w:val="left" w:pos="720" w:leader="none"/>
      </w:tabs>
      <w:outlineLvl w:val="2"/>
    </w:pPr>
    <w:rPr>
      <w:b w:val="false"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080" w:leader="none"/>
      </w:tabs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1440" w:leader="none"/>
      </w:tabs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  <w:tab w:val="left" w:pos="1800" w:leader="none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  <w:tab w:val="left" w:pos="1296" w:leader="none"/>
        <w:tab w:val="left" w:pos="1800" w:leader="none"/>
      </w:tabs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1440" w:leader="none"/>
      </w:tabs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1584" w:leader="none"/>
      </w:tabs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vertAlign w:val="baselin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vertAlign w:val="baseline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vertAlign w:val="baseline"/>
    </w:rPr>
  </w:style>
  <w:style w:type="character" w:styleId="WW8Num17z0">
    <w:name w:val="WW8Num17z0"/>
    <w:qFormat/>
    <w:rPr>
      <w:rFonts w:ascii="Symbol" w:hAnsi="Symbol" w:cs="Symbol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vertAlign w:val="baseline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>
      <w:rFonts w:ascii="Book Antiqua;Georgia" w:hAnsi="Book Antiqua;Georgia" w:cs="Book Antiqua;Georgia"/>
      <w:b/>
      <w:sz w:val="22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spacing w:lineRule="auto" w:line="240" w:before="240" w:after="60"/>
      <w:jc w:val="center"/>
    </w:pPr>
    <w:rPr>
      <w:b/>
      <w:cap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FootnoteText">
    <w:name w:val="footnote text"/>
    <w:basedOn w:val="Normal"/>
    <w:pPr/>
    <w:rPr>
      <w:sz w:val="18"/>
    </w:rPr>
  </w:style>
  <w:style w:type="paragraph" w:styleId="EndnoteText">
    <w:name w:val="endnote text"/>
    <w:basedOn w:val="Normal"/>
    <w:pPr/>
    <w:rPr/>
  </w:style>
  <w:style w:type="paragraph" w:styleId="TOAHeading">
    <w:name w:val="TOA Heading"/>
    <w:basedOn w:val="Heading"/>
    <w:next w:val="Normal"/>
    <w:qFormat/>
    <w:pPr>
      <w:spacing w:before="120" w:after="60"/>
    </w:pPr>
    <w:rPr/>
  </w:style>
  <w:style w:type="paragraph" w:styleId="Subtitle-paul">
    <w:name w:val="Subtitle-paul"/>
    <w:basedOn w:val="Heading"/>
    <w:qFormat/>
    <w:pPr/>
    <w:rPr>
      <w:i/>
      <w:caps w:val="false"/>
      <w:smallCaps w:val="false"/>
    </w:rPr>
  </w:style>
  <w:style w:type="paragraph" w:styleId="Annex1">
    <w:name w:val="Annex 1"/>
    <w:basedOn w:val="Heading1"/>
    <w:qFormat/>
    <w:pPr>
      <w:numPr>
        <w:ilvl w:val="0"/>
        <w:numId w:val="0"/>
      </w:numPr>
      <w:tabs>
        <w:tab w:val="clear" w:pos="720"/>
        <w:tab w:val="left" w:pos="1440" w:leader="none"/>
      </w:tabs>
      <w:ind w:hanging="288" w:start="288" w:end="0"/>
      <w:outlineLvl w:val="9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keepNext w:val="true"/>
      <w:ind w:hanging="0" w:start="576" w:end="0"/>
    </w:pPr>
    <w:rPr>
      <w:i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2000-02-17T13:22:00Z</dcterms:created>
  <dc:creator>Paul Dawson</dc:creator>
  <dc:description/>
  <dc:language>en-CA</dc:language>
  <cp:lastModifiedBy>pdawson</cp:lastModifiedBy>
  <cp:lastPrinted>2000-02-17T15:52:00Z</cp:lastPrinted>
  <dcterms:modified xsi:type="dcterms:W3CDTF">2000-02-17T14:45:00Z</dcterms:modified>
  <cp:revision>5</cp:revision>
  <dc:subject/>
  <dc:title>MERGER OF POWERGEN AND EAST MIDLANDS ELECTRICITY</dc:title>
</cp:coreProperties>
</file>