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TOP TEN FOR WEST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Hydro—support legislative and regulatory initiatives to:  (1) set hydroelectric facility costs to enable early CTC roll-off; and (2) provide separation of PG&amp;E contracted for hydro.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Revenue Adjustment Proceedings—annual proceeding in California that have immediate bottom-line impact on ongoing EES transactions.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Distribution Competition—CPUC investigation into future of “utility distribution companies”.  This proceeding will provide an opportunity to continue unbundling and restructuring California utilities and will include a discussion of default provider.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Defensive Legislation—ward off expected efforts by PG&amp;E to “hurt” competitors given PG&amp;E’s failure to pass legislation last session that would have enabled transfer of hydro assets.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Desert Star—creation of ISO in desert Southwest as an alternative to California ISO.  Desert Start will follow “Tabors” commercial model, rather than “Hogan” model.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Natural Gas Strategy—another CPUC investigation into opening gas markets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Distributed Generation—CPUC investigation into how and why of distributed generation in California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 xml:space="preserve">Power Plants—siting and assisting in the development of one know (and other potential) ENA facilities in California. 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Las Vegas Cogen—reformation/renegotiation of cogeneration facility owned by ENA.  Transaction may have multiple parts.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APS Appeal—We either win the appeal or lose the market</w:t>
      </w:r>
    </w:p>
    <w:p>
      <w:pPr>
        <w:pStyle w:val="BodyText"/>
        <w:rPr/>
      </w:pPr>
      <w:r>
        <w:rPr/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If you want more ….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1"/>
        </w:numPr>
        <w:rPr/>
      </w:pPr>
      <w:r>
        <w:rPr/>
        <w:t>ISO Unresolved Issues—FERC case involving numerous CaISO formation issues.</w:t>
      </w:r>
    </w:p>
    <w:p>
      <w:pPr>
        <w:pStyle w:val="BodyText"/>
        <w:numPr>
          <w:ilvl w:val="0"/>
          <w:numId w:val="1"/>
        </w:numPr>
        <w:rPr/>
      </w:pPr>
      <w:r>
        <w:rPr/>
        <w:t>Governance Litigation—FERC case involving governance of CaISO.</w:t>
      </w:r>
    </w:p>
    <w:p>
      <w:pPr>
        <w:pStyle w:val="BodyText"/>
        <w:numPr>
          <w:ilvl w:val="0"/>
          <w:numId w:val="1"/>
        </w:numPr>
        <w:rPr/>
      </w:pPr>
      <w:r>
        <w:rPr/>
        <w:t>Grid Management Charge—FERC case involving charges for use of ISO controlled facilities.</w:t>
      </w:r>
    </w:p>
    <w:p>
      <w:pPr>
        <w:pStyle w:val="BodyText"/>
        <w:numPr>
          <w:ilvl w:val="0"/>
          <w:numId w:val="1"/>
        </w:numPr>
        <w:rPr/>
      </w:pPr>
      <w:r>
        <w:rPr/>
        <w:t>PTR/GRC/PBR—rate design for distribution rates at issue.</w:t>
      </w:r>
    </w:p>
    <w:p>
      <w:pPr>
        <w:pStyle w:val="BodyText"/>
        <w:numPr>
          <w:ilvl w:val="0"/>
          <w:numId w:val="1"/>
        </w:numPr>
        <w:rPr/>
      </w:pPr>
      <w:r>
        <w:rPr/>
        <w:t>ECI—assisting ECI in “tariffing” issues.</w:t>
      </w:r>
    </w:p>
    <w:p>
      <w:pPr>
        <w:pStyle w:val="BodyText"/>
        <w:numPr>
          <w:ilvl w:val="0"/>
          <w:numId w:val="1"/>
        </w:numPr>
        <w:rPr/>
      </w:pPr>
      <w:r>
        <w:rPr/>
        <w:t>Affiliate Rules—CPUC will revisit California’s standard of conduct in 2000.</w:t>
      </w:r>
    </w:p>
    <w:p>
      <w:pPr>
        <w:pStyle w:val="BodyText"/>
        <w:numPr>
          <w:ilvl w:val="0"/>
          <w:numId w:val="1"/>
        </w:numPr>
        <w:rPr/>
      </w:pPr>
      <w:r>
        <w:rPr/>
        <w:t>RCS/Service fees—bottom line impact on EES transactions, including DASR changes.</w:t>
      </w:r>
    </w:p>
    <w:p>
      <w:pPr>
        <w:pStyle w:val="BodyText"/>
        <w:numPr>
          <w:ilvl w:val="0"/>
          <w:numId w:val="1"/>
        </w:numPr>
        <w:rPr>
          <w:sz w:val="24"/>
        </w:rPr>
      </w:pPr>
      <w:r>
        <w:rPr/>
        <w:t>Federal Bases—EES initiative to provide services to numerous bases in California.</w:t>
      </w:r>
    </w:p>
    <w:sectPr>
      <w:footerReference w:type="default" r:id="rId2"/>
      <w:type w:val="nextPage"/>
      <w:pgSz w:w="12240" w:h="15840"/>
      <w:pgMar w:left="1800" w:right="1800" w:gutter="0" w:header="0" w:top="1440" w:footer="225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rStyle w:val="PageNumber"/>
      </w:rPr>
      <w:t>Page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1999-11-05T21:12:00Z</dcterms:created>
  <dc:creator>pkaufma</dc:creator>
  <dc:description/>
  <dc:language>en-CA</dc:language>
  <cp:lastModifiedBy>pkaufma</cp:lastModifiedBy>
  <dcterms:modified xsi:type="dcterms:W3CDTF">1999-11-05T21:27:00Z</dcterms:modified>
  <cp:revision>1</cp:revision>
  <dc:subject/>
  <dc:title>TOP TEN FOR WEST</dc:title>
</cp:coreProperties>
</file>