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RTO TOP ISSUES</w:t>
      </w:r>
    </w:p>
    <w:p>
      <w:pPr>
        <w:pStyle w:val="Normal"/>
        <w:jc w:val="center"/>
        <w:rPr>
          <w:b/>
          <w:bCs/>
        </w:rPr>
      </w:pPr>
      <w:r>
        <w:rPr>
          <w:b/>
          <w:bCs/>
        </w:rPr>
        <w:t>June 2001</w:t>
      </w:r>
    </w:p>
    <w:p>
      <w:pPr>
        <w:pStyle w:val="Normal"/>
        <w:jc w:val="center"/>
        <w:rPr>
          <w:b/>
          <w:bCs/>
        </w:rPr>
      </w:pPr>
      <w:r>
        <w:rPr>
          <w:b/>
          <w:bCs/>
        </w:rPr>
      </w:r>
    </w:p>
    <w:p>
      <w:pPr>
        <w:pStyle w:val="Normal"/>
        <w:numPr>
          <w:ilvl w:val="0"/>
          <w:numId w:val="1"/>
        </w:numPr>
        <w:rPr/>
      </w:pPr>
      <w:r>
        <w:rPr/>
        <w:t>Too many competing RTO’s in Midwest:</w:t>
      </w:r>
    </w:p>
    <w:p>
      <w:pPr>
        <w:pStyle w:val="Normal"/>
        <w:rPr/>
      </w:pPr>
      <w:r>
        <w:rPr/>
        <w:t xml:space="preserve">             </w:t>
      </w:r>
      <w:r>
        <w:rPr/>
        <w:t>PJM; PJM-West; Alliance; Midwest ISO; Coop ISO; Crescent Moon</w:t>
      </w:r>
    </w:p>
    <w:p>
      <w:pPr>
        <w:pStyle w:val="Normal"/>
        <w:rPr/>
      </w:pPr>
      <w:r>
        <w:rPr/>
        <w:t xml:space="preserve">             </w:t>
      </w:r>
      <w:r>
        <w:rPr/>
        <w:t xml:space="preserve">These competing RTO’s will create both seams and governance issues.  </w:t>
      </w:r>
    </w:p>
    <w:p>
      <w:pPr>
        <w:pStyle w:val="Normal"/>
        <w:rPr/>
      </w:pPr>
      <w:r>
        <w:rPr/>
        <w:t xml:space="preserve">             </w:t>
      </w:r>
      <w:r>
        <w:rPr/>
        <w:t>Also there are too many layers of management.  Not only DOE and FERC along</w:t>
      </w:r>
    </w:p>
    <w:p>
      <w:pPr>
        <w:pStyle w:val="Normal"/>
        <w:rPr/>
      </w:pPr>
      <w:r>
        <w:rPr/>
        <w:t xml:space="preserve">             </w:t>
      </w:r>
      <w:r>
        <w:rPr/>
        <w:t xml:space="preserve">with state regulation, but also NERC and the RTO’s themselves.  Perhaps one </w:t>
      </w:r>
    </w:p>
    <w:p>
      <w:pPr>
        <w:pStyle w:val="Normal"/>
        <w:rPr/>
      </w:pPr>
      <w:r>
        <w:rPr/>
        <w:t xml:space="preserve">             </w:t>
      </w:r>
      <w:r>
        <w:rPr/>
        <w:t xml:space="preserve">organization such as the RTO should also be responsible for reliability and </w:t>
      </w:r>
    </w:p>
    <w:p>
      <w:pPr>
        <w:pStyle w:val="Normal"/>
        <w:rPr/>
      </w:pPr>
      <w:r>
        <w:rPr/>
        <w:t xml:space="preserve">             </w:t>
      </w:r>
      <w:r>
        <w:rPr/>
        <w:t>eliminate the tremendous duplication of rules and regulation in this business.</w:t>
      </w:r>
    </w:p>
    <w:p>
      <w:pPr>
        <w:pStyle w:val="Normal"/>
        <w:rPr/>
      </w:pPr>
      <w:r>
        <w:rPr/>
        <w:t xml:space="preserve">    </w:t>
      </w:r>
    </w:p>
    <w:p>
      <w:pPr>
        <w:pStyle w:val="Normal"/>
        <w:numPr>
          <w:ilvl w:val="0"/>
          <w:numId w:val="1"/>
        </w:numPr>
        <w:rPr/>
      </w:pPr>
      <w:r>
        <w:rPr/>
        <w:t xml:space="preserve">NERC has not eliminated the incentive to create more control areas.  Expect </w:t>
      </w:r>
    </w:p>
    <w:p>
      <w:pPr>
        <w:pStyle w:val="Normal"/>
        <w:ind w:start="720" w:end="0"/>
        <w:rPr/>
      </w:pPr>
      <w:r>
        <w:rPr/>
        <w:t xml:space="preserve">Duke to apply for a control area associated with each individual generating plant that they may construct.  Allegheny Energy Services plans to take over control area operation of the Enron units that they purchased in ECAR.  While a single control area for each RTO may not be practical, it is important that the total number be reduced from the present 157 or so to something more manageable. </w:t>
      </w:r>
    </w:p>
    <w:p>
      <w:pPr>
        <w:pStyle w:val="Normal"/>
        <w:rPr/>
      </w:pPr>
      <w:r>
        <w:rPr/>
        <w:t xml:space="preserve">          </w:t>
      </w:r>
    </w:p>
    <w:p>
      <w:pPr>
        <w:pStyle w:val="Normal"/>
        <w:numPr>
          <w:ilvl w:val="0"/>
          <w:numId w:val="1"/>
        </w:numPr>
        <w:rPr/>
      </w:pPr>
      <w:r>
        <w:rPr/>
        <w:t>Strong Public Power influence in Midwest:</w:t>
      </w:r>
    </w:p>
    <w:p>
      <w:pPr>
        <w:pStyle w:val="Normal"/>
        <w:rPr/>
      </w:pPr>
      <w:r>
        <w:rPr/>
        <w:t xml:space="preserve">             </w:t>
      </w:r>
      <w:r>
        <w:rPr/>
        <w:t>Public Power (non-jurisdictional) has no intention of being regulated by</w:t>
      </w:r>
    </w:p>
    <w:p>
      <w:pPr>
        <w:pStyle w:val="Normal"/>
        <w:rPr/>
      </w:pPr>
      <w:r>
        <w:rPr/>
        <w:t xml:space="preserve">             </w:t>
      </w:r>
      <w:r>
        <w:rPr/>
        <w:t xml:space="preserve">FERC.  Instead they may form “quasi” RTO’s that are similar but are not </w:t>
      </w:r>
    </w:p>
    <w:p>
      <w:pPr>
        <w:pStyle w:val="Normal"/>
        <w:rPr/>
      </w:pPr>
      <w:r>
        <w:rPr/>
        <w:t xml:space="preserve">             </w:t>
      </w:r>
      <w:r>
        <w:rPr/>
        <w:t xml:space="preserve">expected to meet all of the FERC mandates. These organizations will continue to            </w:t>
      </w:r>
    </w:p>
    <w:p>
      <w:pPr>
        <w:pStyle w:val="Normal"/>
        <w:rPr/>
      </w:pPr>
      <w:r>
        <w:rPr/>
        <w:t xml:space="preserve">             </w:t>
      </w:r>
      <w:r>
        <w:rPr/>
        <w:t xml:space="preserve">advantage the coops and municipals that form them.  With the </w:t>
      </w:r>
    </w:p>
    <w:p>
      <w:pPr>
        <w:pStyle w:val="Normal"/>
        <w:rPr/>
      </w:pPr>
      <w:r>
        <w:rPr/>
        <w:t xml:space="preserve">             </w:t>
      </w:r>
      <w:r>
        <w:rPr/>
        <w:t>Democrats in control of the Senate, the chances of passing legislation</w:t>
      </w:r>
    </w:p>
    <w:p>
      <w:pPr>
        <w:pStyle w:val="Normal"/>
        <w:rPr/>
      </w:pPr>
      <w:r>
        <w:rPr/>
        <w:t xml:space="preserve">             </w:t>
      </w:r>
      <w:r>
        <w:rPr/>
        <w:t xml:space="preserve">placing all transmission under FERC oversight is slim at best.      </w:t>
      </w:r>
    </w:p>
    <w:p>
      <w:pPr>
        <w:pStyle w:val="Normal"/>
        <w:rPr/>
      </w:pPr>
      <w:r>
        <w:rPr/>
        <w:t xml:space="preserve">             </w:t>
      </w:r>
      <w:r>
        <w:rPr/>
        <w:t xml:space="preserve">Instead public power expects if they form some type of RTO, FERC will accept </w:t>
      </w:r>
    </w:p>
    <w:p>
      <w:pPr>
        <w:pStyle w:val="Normal"/>
        <w:rPr/>
      </w:pPr>
      <w:r>
        <w:rPr/>
        <w:t xml:space="preserve">             </w:t>
      </w:r>
      <w:r>
        <w:rPr/>
        <w:t>something less than full requirements as FERC realizes it is powerless to regulate</w:t>
      </w:r>
    </w:p>
    <w:p>
      <w:pPr>
        <w:pStyle w:val="Normal"/>
        <w:rPr/>
      </w:pPr>
      <w:r>
        <w:rPr/>
        <w:t xml:space="preserve">             </w:t>
      </w:r>
      <w:r>
        <w:rPr/>
        <w:t>the non-jurisdictionals.  And don’t expect the west or Midwest to support the</w:t>
      </w:r>
    </w:p>
    <w:p>
      <w:pPr>
        <w:pStyle w:val="Normal"/>
        <w:rPr/>
      </w:pPr>
      <w:r>
        <w:rPr/>
        <w:t xml:space="preserve">             </w:t>
      </w:r>
      <w:r>
        <w:rPr/>
        <w:t xml:space="preserve">Federal Government’s effort to gain eminent domain for the placement of     </w:t>
      </w:r>
    </w:p>
    <w:p>
      <w:pPr>
        <w:pStyle w:val="Normal"/>
        <w:rPr/>
      </w:pPr>
      <w:r>
        <w:rPr/>
        <w:t xml:space="preserve">             </w:t>
      </w:r>
      <w:r>
        <w:rPr/>
        <w:t xml:space="preserve">transmission lines.  </w:t>
      </w:r>
    </w:p>
    <w:p>
      <w:pPr>
        <w:pStyle w:val="Normal"/>
        <w:rPr/>
      </w:pPr>
      <w:r>
        <w:rPr/>
      </w:r>
    </w:p>
    <w:p>
      <w:pPr>
        <w:pStyle w:val="Normal"/>
        <w:numPr>
          <w:ilvl w:val="0"/>
          <w:numId w:val="1"/>
        </w:numPr>
        <w:rPr/>
      </w:pPr>
      <w:r>
        <w:rPr/>
        <w:t xml:space="preserve">The Midwest ISO has several working groups, major support groups for both operations and planning, and a policy committee along with an advisory committee. And each of the working groups or committees schedules at least one and often more meetings per month.  Also other committees such as the MISO transmission owners are closed to only owners.  Therefore the owners may not acknowledge the market when they make policy recommendations.  An effort should be made to combine meetings by function and perhaps hold two-day sessions to cover the increase in agenda items, save travel expenses, and not allow closed meetings.   </w:t>
      </w:r>
    </w:p>
    <w:p>
      <w:pPr>
        <w:pStyle w:val="Normal"/>
        <w:ind w:start="720" w:end="0"/>
        <w:rPr/>
      </w:pPr>
      <w:r>
        <w:rPr/>
      </w:r>
    </w:p>
    <w:p>
      <w:pPr>
        <w:pStyle w:val="Normal"/>
        <w:numPr>
          <w:ilvl w:val="0"/>
          <w:numId w:val="1"/>
        </w:numPr>
        <w:rPr/>
      </w:pPr>
      <w:r>
        <w:rPr/>
        <w:t>Day 1 VS Day 2:</w:t>
      </w:r>
    </w:p>
    <w:p>
      <w:pPr>
        <w:pStyle w:val="Normal"/>
        <w:ind w:start="720" w:end="0"/>
        <w:rPr/>
      </w:pPr>
      <w:r>
        <w:rPr/>
        <w:t xml:space="preserve">Day 1 has already been decided and it will be status quo.  If Enron supports RTO operation yet this year we must limit our objections regarding Day 1 policies and start to concentrate on Day 2.  Congestion management along with scheduling will remain large issues and we need to convince not only the “new” players in the game but also the traditional entities to our way of thinking.  In order to do that in the Midwest, Enron should determine if it is willing to support the non-jurisdictional entities in their quest for their own RTO’s or the ISO’s in their quest for Transco’s.   We need a block of utilities that will accept our open market ideas. </w:t>
      </w:r>
    </w:p>
    <w:p>
      <w:pPr>
        <w:pStyle w:val="Normal"/>
        <w:rPr/>
      </w:pPr>
      <w:r>
        <w:rPr/>
      </w:r>
    </w:p>
    <w:p>
      <w:pPr>
        <w:pStyle w:val="Normal"/>
        <w:numPr>
          <w:ilvl w:val="0"/>
          <w:numId w:val="1"/>
        </w:numPr>
        <w:rPr/>
      </w:pPr>
      <w:r>
        <w:rPr/>
        <w:t>Stakeholder meetings, like those being held by the Alliance, are normally of little real value and are more for show and to appease the regulators including FERC.  Although both the Alliance and MISO state that they are working toward common procedures, I have seen little real evidence to support their conclusion.</w:t>
      </w:r>
    </w:p>
    <w:p>
      <w:pPr>
        <w:pStyle w:val="Normal"/>
        <w:ind w:start="720" w:end="0"/>
        <w:rPr/>
      </w:pPr>
      <w:r>
        <w:rPr/>
      </w:r>
    </w:p>
    <w:p>
      <w:pPr>
        <w:pStyle w:val="Normal"/>
        <w:numPr>
          <w:ilvl w:val="0"/>
          <w:numId w:val="1"/>
        </w:numPr>
        <w:rPr/>
      </w:pPr>
      <w:r>
        <w:rPr/>
        <w:t xml:space="preserve">Where does Enron stand today regarding Transco’s?  If both Transco’s and ISO’s are allowed to form, there will be much duplication of effort and expense for the transmission customer.  Does Enron still have a group that is out promoting Transco’s?  I would support Transco’s replacing the ISO’s as soon as possible. </w:t>
      </w:r>
    </w:p>
    <w:p>
      <w:pPr>
        <w:pStyle w:val="Normal"/>
        <w:rPr/>
      </w:pPr>
      <w:r>
        <w:rPr/>
      </w:r>
    </w:p>
    <w:p>
      <w:pPr>
        <w:pStyle w:val="Normal"/>
        <w:numPr>
          <w:ilvl w:val="0"/>
          <w:numId w:val="1"/>
        </w:numPr>
        <w:rPr/>
      </w:pPr>
      <w:r>
        <w:rPr/>
        <w:t>Do not rely on FERC.  They have proved to be less than adequate in most proceedings and just because they now have a full compliment of members does not mean that they will deal with the issues or move at a quicker pace.  FERC should shoulder much of the blame for many of the problems associated with re-regulation.  Their approach is often very timid and now they will remain under Senate scrutiny for a long time while they deal with the high prices in the west.</w:t>
      </w:r>
    </w:p>
    <w:p>
      <w:pPr>
        <w:pStyle w:val="Normal"/>
        <w:rPr/>
      </w:pPr>
      <w:r>
        <w:rPr/>
      </w:r>
    </w:p>
    <w:p>
      <w:pPr>
        <w:pStyle w:val="Normal"/>
        <w:numPr>
          <w:ilvl w:val="0"/>
          <w:numId w:val="1"/>
        </w:numPr>
        <w:rPr/>
      </w:pPr>
      <w:r>
        <w:rPr/>
        <w:t>Where is the savings?  While lots of numbers have been touted as the expected</w:t>
      </w:r>
    </w:p>
    <w:p>
      <w:pPr>
        <w:pStyle w:val="Normal"/>
        <w:rPr/>
      </w:pPr>
      <w:r>
        <w:rPr/>
        <w:t xml:space="preserve">            </w:t>
      </w:r>
      <w:r>
        <w:rPr/>
        <w:t>savings from re-regulation, where are the numbers to prove it?  And where are all</w:t>
      </w:r>
    </w:p>
    <w:p>
      <w:pPr>
        <w:pStyle w:val="Normal"/>
        <w:rPr/>
      </w:pPr>
      <w:r>
        <w:rPr/>
        <w:t xml:space="preserve">            </w:t>
      </w:r>
      <w:r>
        <w:rPr/>
        <w:t>those happy homeowners that have extra cash in their pocket?  Enron needs to</w:t>
      </w:r>
    </w:p>
    <w:p>
      <w:pPr>
        <w:pStyle w:val="Normal"/>
        <w:rPr/>
      </w:pPr>
      <w:r>
        <w:rPr/>
        <w:t xml:space="preserve">            </w:t>
      </w:r>
      <w:r>
        <w:rPr/>
        <w:t xml:space="preserve">quantify the savings received by state and by type of customer-i.e. industrial, </w:t>
      </w:r>
    </w:p>
    <w:p>
      <w:pPr>
        <w:pStyle w:val="Normal"/>
        <w:rPr/>
      </w:pPr>
      <w:r>
        <w:rPr/>
        <w:t xml:space="preserve">            </w:t>
      </w:r>
      <w:r>
        <w:rPr/>
        <w:t>commercial, small business, and residential.  If every market segment can show</w:t>
      </w:r>
    </w:p>
    <w:p>
      <w:pPr>
        <w:pStyle w:val="Normal"/>
        <w:rPr/>
      </w:pPr>
      <w:r>
        <w:rPr/>
        <w:t xml:space="preserve">            </w:t>
      </w:r>
      <w:r>
        <w:rPr/>
        <w:t>significant savings in most regions of the country, the general populace, whose</w:t>
      </w:r>
    </w:p>
    <w:p>
      <w:pPr>
        <w:pStyle w:val="Normal"/>
        <w:rPr/>
      </w:pPr>
      <w:r>
        <w:rPr/>
        <w:t xml:space="preserve">            </w:t>
      </w:r>
      <w:r>
        <w:rPr/>
        <w:t xml:space="preserve">support is vital may get involved rather than remain on the sidelines or opposed to     </w:t>
      </w:r>
    </w:p>
    <w:p>
      <w:pPr>
        <w:pStyle w:val="Normal"/>
        <w:rPr/>
      </w:pPr>
      <w:r>
        <w:rPr/>
        <w:t xml:space="preserve">            </w:t>
      </w:r>
      <w:r>
        <w:rPr/>
        <w:t>this effort.</w:t>
      </w:r>
    </w:p>
    <w:p>
      <w:pPr>
        <w:pStyle w:val="Normal"/>
        <w:rPr/>
      </w:pPr>
      <w:r>
        <w:rPr/>
      </w:r>
    </w:p>
    <w:p>
      <w:pPr>
        <w:pStyle w:val="Normal"/>
        <w:numPr>
          <w:ilvl w:val="0"/>
          <w:numId w:val="1"/>
        </w:numPr>
        <w:rPr/>
      </w:pPr>
      <w:r>
        <w:rPr/>
        <w:t xml:space="preserve">After observing the Enron meeting at the Omni Interlocken, it was apparent that we have no consistent message in touting a real time energy market.  At one time we only supported flowgate, now I understand we are advising customers of the advantages of LMP.  An inconsistant message combined with frequent employee turnover is confusing to not only our customers and potential supporters but also to Enron staff.  Frequent turnover reduces our opportunities to form strong partnerships with common themes that could help promote an open market.  Also Enron seems very concerned with cost control and expenses right now compared to the past.  Is Enron willing to spend the considerable resources required to “capture the pen” at the working group level to ensure market friendly policies will be adopted?   </w:t>
      </w:r>
    </w:p>
    <w:p>
      <w:pPr>
        <w:pStyle w:val="Normal"/>
        <w:ind w:start="720" w:end="0"/>
        <w:rPr/>
      </w:pPr>
      <w:r>
        <w:rPr/>
      </w:r>
    </w:p>
    <w:p>
      <w:pPr>
        <w:pStyle w:val="Normal"/>
        <w:ind w:start="720" w:end="0"/>
        <w:rPr/>
      </w:pPr>
      <w:r>
        <w:rPr/>
      </w:r>
    </w:p>
    <w:p>
      <w:pPr>
        <w:pStyle w:val="Normal"/>
        <w:ind w:start="720" w:end="0"/>
        <w:rPr/>
      </w:pPr>
      <w:r>
        <w:rPr/>
        <w:t xml:space="preserv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2001-06-22T11:53:00Z</dcterms:created>
  <dc:creator>David Mangskau</dc:creator>
  <dc:description/>
  <dc:language>en-CA</dc:language>
  <cp:lastModifiedBy>David Mangskau</cp:lastModifiedBy>
  <cp:lastPrinted>2001-06-22T08:49:00Z</cp:lastPrinted>
  <dcterms:modified xsi:type="dcterms:W3CDTF">2001-06-22T11:53:00Z</dcterms:modified>
  <cp:revision>2</cp:revision>
  <dc:subject/>
  <dc:title>TOP ISSUES</dc:title>
</cp:coreProperties>
</file>