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1358" w:type="dxa"/>
        <w:jc w:val="start"/>
        <w:tblInd w:w="200" w:type="dxa"/>
        <w:tblLayout w:type="fixed"/>
        <w:tblCellMar>
          <w:top w:w="0" w:type="dxa"/>
          <w:start w:w="108" w:type="dxa"/>
          <w:bottom w:w="0" w:type="dxa"/>
          <w:end w:w="108" w:type="dxa"/>
        </w:tblCellMar>
      </w:tblPr>
      <w:tblGrid>
        <w:gridCol w:w="988"/>
        <w:gridCol w:w="370"/>
        <w:gridCol w:w="5490"/>
        <w:gridCol w:w="370"/>
        <w:gridCol w:w="805"/>
        <w:gridCol w:w="370"/>
        <w:gridCol w:w="2595"/>
        <w:gridCol w:w="370"/>
      </w:tblGrid>
      <w:tr>
        <w:trPr>
          <w:trHeight w:val="300" w:hRule="exact"/>
        </w:trPr>
        <w:tc>
          <w:tcPr>
            <w:tcW w:w="988"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To:</w:t>
            </w:r>
          </w:p>
        </w:tc>
        <w:tc>
          <w:tcPr>
            <w:tcW w:w="5860" w:type="dxa"/>
            <w:gridSpan w:val="2"/>
            <w:tcBorders/>
          </w:tcPr>
          <w:p>
            <w:pPr>
              <w:pStyle w:val="To"/>
              <w:rPr>
                <w:rFonts w:ascii="Times New Roman" w:hAnsi="Times New Roman" w:cs="Times New Roman"/>
              </w:rPr>
            </w:pPr>
            <w:r>
              <w:rPr>
                <w:rFonts w:cs="Times New Roman" w:ascii="Times New Roman" w:hAnsi="Times New Roman"/>
              </w:rPr>
              <w:t>Jan-Erland Bekeng</w:t>
            </w:r>
          </w:p>
        </w:tc>
        <w:tc>
          <w:tcPr>
            <w:tcW w:w="1175" w:type="dxa"/>
            <w:gridSpan w:val="2"/>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gridSpan w:val="2"/>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370"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216" w:hRule="exact"/>
        </w:trPr>
        <w:tc>
          <w:tcPr>
            <w:tcW w:w="1358" w:type="dxa"/>
            <w:gridSpan w:val="2"/>
            <w:tcBorders/>
          </w:tcPr>
          <w:p>
            <w:pPr>
              <w:pStyle w:val="Normal"/>
              <w:tabs>
                <w:tab w:val="clear" w:pos="540"/>
              </w:tabs>
              <w:snapToGrid w:val="false"/>
              <w:ind w:start="-180" w:end="0"/>
              <w:jc w:val="end"/>
              <w:rPr>
                <w:rFonts w:ascii="Times New Roman" w:hAnsi="Times New Roman" w:cs="Times New Roman"/>
                <w:sz w:val="20"/>
              </w:rPr>
            </w:pPr>
            <w:r>
              <w:rPr>
                <w:rFonts w:cs="Times New Roman" w:ascii="Times New Roman" w:hAnsi="Times New Roman"/>
                <w:sz w:val="20"/>
              </w:rPr>
            </w:r>
          </w:p>
        </w:tc>
        <w:tc>
          <w:tcPr>
            <w:tcW w:w="5860" w:type="dxa"/>
            <w:gridSpan w:val="2"/>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1175" w:type="dxa"/>
            <w:gridSpan w:val="2"/>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gridSpan w:val="2"/>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300" w:hRule="exact"/>
        </w:trPr>
        <w:tc>
          <w:tcPr>
            <w:tcW w:w="988"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From:</w:t>
            </w:r>
          </w:p>
        </w:tc>
        <w:tc>
          <w:tcPr>
            <w:tcW w:w="5860" w:type="dxa"/>
            <w:gridSpan w:val="2"/>
            <w:tcBorders/>
          </w:tcPr>
          <w:p>
            <w:pPr>
              <w:pStyle w:val="From"/>
              <w:rPr>
                <w:rFonts w:ascii="Times New Roman" w:hAnsi="Times New Roman" w:cs="Times New Roman"/>
              </w:rPr>
            </w:pPr>
            <w:r>
              <w:rPr>
                <w:rFonts w:cs="Times New Roman" w:ascii="Times New Roman" w:hAnsi="Times New Roman"/>
              </w:rPr>
              <w:t>Susan Musch</w:t>
            </w:r>
          </w:p>
        </w:tc>
        <w:tc>
          <w:tcPr>
            <w:tcW w:w="1175" w:type="dxa"/>
            <w:gridSpan w:val="2"/>
            <w:tcBorders/>
          </w:tcPr>
          <w:p>
            <w:pPr>
              <w:pStyle w:val="Normal"/>
              <w:ind w:start="-180" w:end="0"/>
              <w:jc w:val="end"/>
              <w:rPr>
                <w:rFonts w:ascii="Times New Roman" w:hAnsi="Times New Roman" w:cs="Times New Roman"/>
                <w:sz w:val="20"/>
              </w:rPr>
            </w:pPr>
            <w:r>
              <w:rPr>
                <w:rFonts w:cs="Times New Roman" w:ascii="Times New Roman" w:hAnsi="Times New Roman"/>
                <w:sz w:val="20"/>
              </w:rPr>
              <w:t>Department:</w:t>
            </w:r>
          </w:p>
        </w:tc>
        <w:tc>
          <w:tcPr>
            <w:tcW w:w="2965" w:type="dxa"/>
            <w:gridSpan w:val="2"/>
            <w:tcBorders/>
          </w:tcPr>
          <w:p>
            <w:pPr>
              <w:pStyle w:val="Department"/>
              <w:rPr>
                <w:rFonts w:ascii="Times New Roman" w:hAnsi="Times New Roman" w:cs="Times New Roman"/>
              </w:rPr>
            </w:pPr>
            <w:bookmarkStart w:id="0" w:name="From"/>
            <w:bookmarkEnd w:id="0"/>
            <w:r>
              <w:rPr>
                <w:rFonts w:cs="Times New Roman" w:ascii="Times New Roman" w:hAnsi="Times New Roman"/>
              </w:rPr>
              <w:t>EWS Tax Department</w:t>
            </w:r>
          </w:p>
        </w:tc>
        <w:tc>
          <w:tcPr>
            <w:tcW w:w="370"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rHeight w:val="216" w:hRule="exact"/>
        </w:trPr>
        <w:tc>
          <w:tcPr>
            <w:tcW w:w="988" w:type="dxa"/>
            <w:tcBorders/>
          </w:tcPr>
          <w:p>
            <w:pPr>
              <w:pStyle w:val="Normal"/>
              <w:snapToGrid w:val="false"/>
              <w:ind w:start="-180" w:end="0"/>
              <w:jc w:val="end"/>
              <w:rPr>
                <w:rFonts w:ascii="Times New Roman" w:hAnsi="Times New Roman" w:cs="Times New Roman"/>
                <w:sz w:val="20"/>
              </w:rPr>
            </w:pPr>
            <w:r>
              <w:rPr>
                <w:rFonts w:cs="Times New Roman" w:ascii="Times New Roman" w:hAnsi="Times New Roman"/>
                <w:sz w:val="20"/>
              </w:rPr>
            </w:r>
          </w:p>
        </w:tc>
        <w:tc>
          <w:tcPr>
            <w:tcW w:w="5860" w:type="dxa"/>
            <w:gridSpan w:val="2"/>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1175" w:type="dxa"/>
            <w:gridSpan w:val="2"/>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gridSpan w:val="2"/>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370" w:type="dxa"/>
            <w:tcBorders/>
            <w:tcMar>
              <w:start w:w="0" w:type="dxa"/>
              <w:end w:w="0" w:type="dxa"/>
            </w:tcMar>
          </w:tcPr>
          <w:p>
            <w:pPr>
              <w:pStyle w:val="Norma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988" w:type="dxa"/>
            <w:tcBorders>
              <w:bottom w:val="single" w:sz="12" w:space="0" w:color="000000"/>
            </w:tcBorders>
          </w:tcPr>
          <w:p>
            <w:pPr>
              <w:pStyle w:val="Normal"/>
              <w:ind w:start="-180" w:end="0"/>
              <w:jc w:val="end"/>
              <w:rPr>
                <w:rFonts w:ascii="Times New Roman" w:hAnsi="Times New Roman" w:cs="Times New Roman"/>
                <w:sz w:val="20"/>
              </w:rPr>
            </w:pPr>
            <w:r>
              <w:rPr>
                <w:rFonts w:cs="Times New Roman" w:ascii="Times New Roman" w:hAnsi="Times New Roman"/>
                <w:sz w:val="20"/>
              </w:rPr>
              <w:t>Subject:</w:t>
            </w:r>
          </w:p>
        </w:tc>
        <w:tc>
          <w:tcPr>
            <w:tcW w:w="5860" w:type="dxa"/>
            <w:gridSpan w:val="2"/>
            <w:tcBorders>
              <w:bottom w:val="single" w:sz="12" w:space="0" w:color="000000"/>
            </w:tcBorders>
          </w:tcPr>
          <w:p>
            <w:pPr>
              <w:pStyle w:val="Subject"/>
              <w:rPr>
                <w:rFonts w:ascii="Times New Roman" w:hAnsi="Times New Roman" w:cs="Times New Roman"/>
              </w:rPr>
            </w:pPr>
            <w:r>
              <w:rPr>
                <w:rFonts w:cs="Times New Roman" w:ascii="Times New Roman" w:hAnsi="Times New Roman"/>
              </w:rPr>
              <w:t>US Tax Characterization of Futures Trading on the TOCOM</w:t>
            </w:r>
          </w:p>
        </w:tc>
        <w:tc>
          <w:tcPr>
            <w:tcW w:w="1175" w:type="dxa"/>
            <w:gridSpan w:val="2"/>
            <w:tcBorders>
              <w:bottom w:val="single" w:sz="12" w:space="0" w:color="000000"/>
            </w:tcBorders>
          </w:tcPr>
          <w:p>
            <w:pPr>
              <w:pStyle w:val="Normal"/>
              <w:ind w:start="-180" w:end="0"/>
              <w:jc w:val="end"/>
              <w:rPr>
                <w:rFonts w:ascii="Times New Roman" w:hAnsi="Times New Roman" w:cs="Times New Roman"/>
                <w:sz w:val="20"/>
              </w:rPr>
            </w:pPr>
            <w:r>
              <w:rPr>
                <w:rFonts w:cs="Times New Roman" w:ascii="Times New Roman" w:hAnsi="Times New Roman"/>
                <w:sz w:val="20"/>
              </w:rPr>
              <w:t>Date:</w:t>
            </w:r>
          </w:p>
        </w:tc>
        <w:tc>
          <w:tcPr>
            <w:tcW w:w="2965" w:type="dxa"/>
            <w:gridSpan w:val="2"/>
            <w:tcBorders>
              <w:bottom w:val="single" w:sz="12" w:space="0" w:color="000000"/>
            </w:tcBorders>
          </w:tcPr>
          <w:p>
            <w:pPr>
              <w:pStyle w:val="Date"/>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c>
          <w:tcPr>
            <w:tcW w:w="370"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bl>
    <w:p>
      <w:pPr>
        <w:pStyle w:val="Body"/>
        <w:rPr>
          <w:rFonts w:ascii="Times New Roman" w:hAnsi="Times New Roman" w:cs="Times New Roman"/>
          <w:color w:val="000000"/>
          <w:sz w:val="24"/>
        </w:rPr>
      </w:pPr>
      <w:r>
        <w:rPr>
          <w:rFonts w:cs="Times New Roman" w:ascii="Times New Roman" w:hAnsi="Times New Roman"/>
          <w:color w:val="000000"/>
          <w:sz w:val="24"/>
        </w:rPr>
      </w:r>
      <w:bookmarkStart w:id="1" w:name="StartOfMemo"/>
      <w:bookmarkStart w:id="2" w:name="StartOfMemo"/>
      <w:bookmarkEnd w:id="2"/>
    </w:p>
    <w:p>
      <w:pPr>
        <w:pStyle w:val="Body"/>
        <w:rPr>
          <w:rFonts w:ascii="Times New Roman" w:hAnsi="Times New Roman" w:cs="Times New Roman"/>
          <w:color w:val="000000"/>
          <w:sz w:val="24"/>
        </w:rPr>
      </w:pPr>
      <w:r>
        <w:rPr>
          <w:rFonts w:cs="Times New Roman" w:ascii="Times New Roman" w:hAnsi="Times New Roman"/>
          <w:color w:val="000000"/>
          <w:sz w:val="24"/>
        </w:rPr>
        <w:t>You have asked whether Enron Japan Corp. (“EJC”) or Enron Japan Marketing Corp. (“EJMC”) should be the Japanese corporation to enter into futures contracts for gasoline and kerosene through trading on the Tokyo Commodity Exchange (“TOCOM”).</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t xml:space="preserve">I understand from advice that we have obtained from Baker &amp; McKenzie in Tokyo that these futures contracts can only be settled physically.  Baker &amp; McKenzie have also advised, however, that such contracts can be sold through cash settlement and can be terminated by entering into a counter-transaction.  </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t>You have stated that you expect at least 95% of all such contracts to be settled through cash payments.  This means that although almost all of such contracts will be financially settled, there will be a few instances where the Tokyo traders decide that from a market perspective, it would be better to hold such contracts until they receive the underlying gasoline or kerosene.  Upon holding the underlying commodity, the traders would then presumably sell that physical commodity to third parties in the market.</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pPr>
      <w:r>
        <w:rPr>
          <w:rFonts w:cs="Times New Roman" w:ascii="Times New Roman" w:hAnsi="Times New Roman"/>
          <w:color w:val="000000"/>
          <w:sz w:val="24"/>
        </w:rPr>
        <w:t>As we have previously discussed, the Japanese trading office was set up through two Japanese kabushiki kaishas (“KKs”) to avoid the immediate US taxation of net gains from its physically settled commodity transactions.</w:t>
      </w:r>
      <w:r>
        <w:rPr>
          <w:rStyle w:val="FootnoteCharacters"/>
          <w:rStyle w:val="FootnoteReference"/>
          <w:rFonts w:cs="Times New Roman" w:ascii="Times New Roman" w:hAnsi="Times New Roman"/>
          <w:color w:val="000000"/>
          <w:sz w:val="24"/>
        </w:rPr>
        <w:footnoteReference w:id="2"/>
      </w:r>
      <w:r>
        <w:rPr>
          <w:rFonts w:cs="Times New Roman" w:ascii="Times New Roman" w:hAnsi="Times New Roman"/>
          <w:color w:val="000000"/>
          <w:sz w:val="24"/>
        </w:rPr>
        <w:t xml:space="preserve">  For this end, the trading operations are separated into physically settled and financial transactions.  EJC enters into financial transactions and EJMC enters into physically settled commodity transactions.  EJC also houses the Tokyo office operations and bills to EJMC its share of the office costs at a cost plus 5% mark-up.  To maintain this division of operations, the decision must be made whether the TOCOM futures contracts for gasoline and kerosene should be traded through EJC or EJMC for US tax purposes.</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jc w:val="center"/>
        <w:rPr>
          <w:rFonts w:ascii="Times New Roman" w:hAnsi="Times New Roman" w:cs="Times New Roman"/>
          <w:color w:val="000000"/>
          <w:sz w:val="24"/>
        </w:rPr>
      </w:pPr>
      <w:r>
        <w:rPr>
          <w:rFonts w:cs="Times New Roman" w:ascii="Times New Roman" w:hAnsi="Times New Roman"/>
          <w:b/>
          <w:bCs/>
          <w:color w:val="000000"/>
          <w:sz w:val="24"/>
        </w:rPr>
        <w:t>Summary</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t xml:space="preserve">The TOCOM futures contracts for gasoline and kerosene are subject to the general rule of immediate US taxation for net gains from commodity transactions.  Because they will be settled financially 95% of the time, net gains from the trading of such futures would not meet the “qualified active sales” exception under the Treasury regulations, which is the exception we use for the physically settled transactions.  As a result, the futures would need to be traded by EJC.  </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t>Using EJC presents an additional issue, however, of how do we avoid immediate US taxation on the net gains from EJC selling the gasoline and kerosene that it receives under the futures contracts.  Although income from the financially settled futures should meet the dealer exception under the Internal Revenue Code, the sales of physical product by EJC would not meet the requirements of the qualified active sales exception.  I had previously advised that EJC should sell to EJMC its rights in the futures contracts that were going to settle physically immediately prior to such physical settlement.  You have since stated, however, that the TOCOM rules (or other Japanese regulations) do not permit the assignment of such futures to other parties.  Thus, we are currently considering other ways of avoiding immediate US taxation on net gains from the sale of gasoline and kerosene by EJC that it obtains through the futures contracts.</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jc w:val="center"/>
        <w:rPr>
          <w:rFonts w:ascii="Times New Roman" w:hAnsi="Times New Roman" w:cs="Times New Roman"/>
          <w:b/>
          <w:bCs/>
          <w:color w:val="000000"/>
          <w:sz w:val="24"/>
        </w:rPr>
      </w:pPr>
      <w:r>
        <w:rPr>
          <w:rFonts w:cs="Times New Roman" w:ascii="Times New Roman" w:hAnsi="Times New Roman"/>
          <w:b/>
          <w:bCs/>
          <w:color w:val="000000"/>
          <w:sz w:val="24"/>
        </w:rPr>
        <w:t>Discussion</w:t>
      </w:r>
    </w:p>
    <w:p>
      <w:pPr>
        <w:pStyle w:val="Body"/>
        <w:rPr>
          <w:rFonts w:ascii="Times New Roman" w:hAnsi="Times New Roman" w:cs="Times New Roman"/>
          <w:b/>
          <w:bCs/>
          <w:color w:val="000000"/>
          <w:sz w:val="24"/>
        </w:rPr>
      </w:pPr>
      <w:r>
        <w:rPr>
          <w:rFonts w:cs="Times New Roman" w:ascii="Times New Roman" w:hAnsi="Times New Roman"/>
          <w:b/>
          <w:bCs/>
          <w:color w:val="000000"/>
          <w:sz w:val="24"/>
        </w:rPr>
      </w:r>
    </w:p>
    <w:p>
      <w:pPr>
        <w:pStyle w:val="Body"/>
        <w:ind w:hanging="288" w:start="360" w:end="0"/>
        <w:rPr>
          <w:rFonts w:ascii="Times New Roman" w:hAnsi="Times New Roman" w:cs="Times New Roman"/>
          <w:b/>
          <w:bCs/>
          <w:color w:val="000000"/>
          <w:sz w:val="24"/>
        </w:rPr>
      </w:pPr>
      <w:r>
        <w:rPr>
          <w:rFonts w:cs="Times New Roman" w:ascii="Times New Roman" w:hAnsi="Times New Roman"/>
          <w:b/>
          <w:bCs/>
          <w:color w:val="000000"/>
          <w:sz w:val="24"/>
        </w:rPr>
        <w:t>1.</w:t>
        <w:tab/>
        <w:t>General US Taxation Rules on the Net Gains from the Sale of Commodities by a Foreign Subsidiary</w:t>
      </w:r>
    </w:p>
    <w:p>
      <w:pPr>
        <w:pStyle w:val="Body"/>
        <w:ind w:hanging="18" w:start="9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
        <w:ind w:hanging="18" w:start="90" w:end="0"/>
        <w:rPr/>
      </w:pPr>
      <w:r>
        <w:rPr>
          <w:rFonts w:cs="Times New Roman" w:ascii="Times New Roman" w:hAnsi="Times New Roman"/>
          <w:color w:val="000000"/>
          <w:sz w:val="24"/>
        </w:rPr>
        <w:t>The US Internal Revenue Code (“Code”) requires certain income generated by controlled foreign corporations to be subject to immediate US taxation at a 35% federal rate even though such income is not distributed as a dividend to its direct or indirect US shareholder.</w:t>
      </w:r>
      <w:r>
        <w:rPr>
          <w:rStyle w:val="FootnoteCharacters"/>
          <w:rStyle w:val="FootnoteReference"/>
          <w:rFonts w:cs="Times New Roman" w:ascii="Times New Roman" w:hAnsi="Times New Roman"/>
          <w:color w:val="000000"/>
          <w:sz w:val="24"/>
        </w:rPr>
        <w:footnoteReference w:id="3"/>
      </w:r>
      <w:r>
        <w:rPr>
          <w:rFonts w:cs="Times New Roman" w:ascii="Times New Roman" w:hAnsi="Times New Roman"/>
          <w:color w:val="000000"/>
          <w:sz w:val="24"/>
        </w:rPr>
        <w:t xml:space="preserve">  There are various categories of income included in these anti-tax deferral provisions.  One of these categories is the net gain from commodity transactions (including futures, forwards, and similar transactions).</w:t>
      </w:r>
      <w:r>
        <w:rPr>
          <w:rStyle w:val="FootnoteCharacters"/>
          <w:rStyle w:val="FootnoteReference"/>
          <w:rFonts w:cs="Times New Roman" w:ascii="Times New Roman" w:hAnsi="Times New Roman"/>
          <w:color w:val="000000"/>
          <w:sz w:val="24"/>
        </w:rPr>
        <w:footnoteReference w:id="4"/>
      </w:r>
      <w:r>
        <w:rPr>
          <w:rFonts w:cs="Times New Roman" w:ascii="Times New Roman" w:hAnsi="Times New Roman"/>
          <w:color w:val="000000"/>
          <w:sz w:val="24"/>
        </w:rPr>
        <w:t xml:space="preserve">  Thus, under this general inclusion provision, net gains from either physical or financial commodity trading activities could be subject to immediate US taxation.</w:t>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t>The Treasury Regulations expand on when net gains from commodities transactions would fall under this provision.  The regulations define a “commodity transaction” to mean:</w:t>
      </w:r>
    </w:p>
    <w:p>
      <w:pPr>
        <w:pStyle w:val="Body"/>
        <w:ind w:start="720" w:end="0"/>
        <w:rPr>
          <w:rFonts w:ascii="Times New Roman" w:hAnsi="Times New Roman" w:cs="Times New Roman"/>
          <w:color w:val="000000"/>
          <w:sz w:val="24"/>
        </w:rPr>
      </w:pPr>
      <w:r>
        <w:rPr>
          <w:rFonts w:cs="Times New Roman" w:ascii="Times New Roman" w:hAnsi="Times New Roman"/>
          <w:color w:val="000000"/>
          <w:sz w:val="24"/>
        </w:rPr>
      </w:r>
    </w:p>
    <w:p>
      <w:pPr>
        <w:pStyle w:val="NormalWeb"/>
        <w:spacing w:before="0" w:after="0"/>
        <w:ind w:start="720" w:end="0"/>
        <w:rPr>
          <w:rFonts w:ascii="Times New Roman" w:hAnsi="Times New Roman" w:cs="Times New Roman"/>
          <w:sz w:val="24"/>
        </w:rPr>
      </w:pPr>
      <w:r>
        <w:rPr>
          <w:rFonts w:cs="Times New Roman" w:ascii="Times New Roman" w:hAnsi="Times New Roman"/>
          <w:sz w:val="24"/>
        </w:rPr>
        <w:t>…</w:t>
      </w:r>
      <w:r>
        <w:rPr>
          <w:rFonts w:eastAsia="Times New Roman" w:cs="Times New Roman" w:ascii="Times New Roman" w:hAnsi="Times New Roman"/>
          <w:sz w:val="24"/>
        </w:rPr>
        <w:t xml:space="preserve"> </w:t>
      </w:r>
      <w:r>
        <w:rPr>
          <w:rFonts w:cs="Times New Roman" w:ascii="Times New Roman" w:hAnsi="Times New Roman"/>
          <w:sz w:val="24"/>
        </w:rPr>
        <w:t xml:space="preserve">the purchase or sale of a commodity for immediate (spot) delivery or deferred (forward) delivery, or the right to purchase, sell, receive, or transfer a commodity, or any other right or obligation with respect to a commodity accomplished through a cash or off-exchange market, an interbank market, an organized exchange or board of trade, or an over-the-counter market, or in a transaction effected between private parties outside of any market. Commodities transactions include, but are not limited to— </w:t>
      </w:r>
    </w:p>
    <w:p>
      <w:pPr>
        <w:pStyle w:val="NormalWeb"/>
        <w:spacing w:before="0" w:after="0"/>
        <w:ind w:hanging="540" w:start="1260" w:end="0"/>
        <w:rPr>
          <w:rFonts w:ascii="Times New Roman" w:hAnsi="Times New Roman" w:cs="Times New Roman"/>
          <w:sz w:val="24"/>
        </w:rPr>
      </w:pPr>
      <w:r>
        <w:rPr>
          <w:rFonts w:cs="Times New Roman" w:ascii="Times New Roman" w:hAnsi="Times New Roman"/>
          <w:sz w:val="24"/>
        </w:rPr>
        <w:t>(A)</w:t>
        <w:tab/>
        <w:t xml:space="preserve">A futures or forward contract in a commodity; </w:t>
      </w:r>
    </w:p>
    <w:p>
      <w:pPr>
        <w:pStyle w:val="NormalWeb"/>
        <w:spacing w:before="0" w:after="0"/>
        <w:ind w:hanging="540" w:start="1260" w:end="0"/>
        <w:rPr>
          <w:rFonts w:ascii="Times New Roman" w:hAnsi="Times New Roman" w:cs="Times New Roman"/>
          <w:sz w:val="24"/>
        </w:rPr>
      </w:pPr>
      <w:r>
        <w:rPr>
          <w:rFonts w:cs="Times New Roman" w:ascii="Times New Roman" w:hAnsi="Times New Roman"/>
          <w:sz w:val="24"/>
        </w:rPr>
        <w:t>(B)</w:t>
        <w:tab/>
        <w:t xml:space="preserve">A leverage contract in a commodity purchased from a leverage transaction merchant; </w:t>
      </w:r>
    </w:p>
    <w:p>
      <w:pPr>
        <w:pStyle w:val="NormalWeb"/>
        <w:spacing w:before="0" w:after="0"/>
        <w:ind w:hanging="540" w:start="1260" w:end="0"/>
        <w:rPr>
          <w:rFonts w:ascii="Times New Roman" w:hAnsi="Times New Roman" w:cs="Times New Roman"/>
          <w:sz w:val="24"/>
        </w:rPr>
      </w:pPr>
      <w:r>
        <w:rPr>
          <w:rFonts w:cs="Times New Roman" w:ascii="Times New Roman" w:hAnsi="Times New Roman"/>
          <w:sz w:val="24"/>
        </w:rPr>
        <w:t>(C)</w:t>
        <w:tab/>
        <w:t xml:space="preserve">An exchange of futures for physical transaction; </w:t>
      </w:r>
    </w:p>
    <w:p>
      <w:pPr>
        <w:pStyle w:val="NormalWeb"/>
        <w:spacing w:before="0" w:after="0"/>
        <w:ind w:hanging="540" w:start="1260" w:end="0"/>
        <w:rPr>
          <w:rFonts w:ascii="Times New Roman" w:hAnsi="Times New Roman" w:cs="Times New Roman"/>
          <w:sz w:val="24"/>
        </w:rPr>
      </w:pPr>
      <w:r>
        <w:rPr>
          <w:rFonts w:cs="Times New Roman" w:ascii="Times New Roman" w:hAnsi="Times New Roman"/>
          <w:sz w:val="24"/>
        </w:rPr>
        <w:t>(D)</w:t>
        <w:tab/>
        <w:t xml:space="preserve">A transaction, including a notional principal contract, in which the income or loss to the parties is measured by reference to the price of a commodity, a pool of commodities, or an index of commodities; </w:t>
      </w:r>
    </w:p>
    <w:p>
      <w:pPr>
        <w:pStyle w:val="NormalWeb"/>
        <w:spacing w:before="0" w:after="0"/>
        <w:ind w:hanging="540" w:start="1260" w:end="0"/>
        <w:rPr>
          <w:rFonts w:ascii="Times New Roman" w:hAnsi="Times New Roman" w:cs="Times New Roman"/>
          <w:sz w:val="24"/>
        </w:rPr>
      </w:pPr>
      <w:r>
        <w:rPr>
          <w:rFonts w:cs="Times New Roman" w:ascii="Times New Roman" w:hAnsi="Times New Roman"/>
          <w:sz w:val="24"/>
        </w:rPr>
        <w:t>(E)</w:t>
        <w:tab/>
        <w:t xml:space="preserve">The purchase or sale of an option or other right to acquire or transfer a commodity, a futures contract in a commodity, or an index of commodities; and </w:t>
      </w:r>
    </w:p>
    <w:p>
      <w:pPr>
        <w:pStyle w:val="NormalWeb"/>
        <w:spacing w:before="0" w:after="0"/>
        <w:ind w:hanging="540" w:start="1260" w:end="0"/>
        <w:rPr>
          <w:rFonts w:ascii="Times New Roman" w:hAnsi="Times New Roman" w:cs="Times New Roman"/>
          <w:sz w:val="24"/>
        </w:rPr>
      </w:pPr>
      <w:r>
        <w:rPr>
          <w:rFonts w:cs="Times New Roman" w:ascii="Times New Roman" w:hAnsi="Times New Roman"/>
          <w:sz w:val="24"/>
        </w:rPr>
        <w:t>(F)</w:t>
        <w:tab/>
        <w:t>The delivery of one commodity in exchange for the delivery of another commodity, the same commodity at another time, cash, or nonfunctional currency.</w:t>
      </w:r>
      <w:r>
        <w:rPr>
          <w:rStyle w:val="FootnoteCharacters"/>
          <w:rStyle w:val="FootnoteReference"/>
          <w:rFonts w:cs="Times New Roman" w:ascii="Times New Roman" w:hAnsi="Times New Roman"/>
          <w:sz w:val="24"/>
        </w:rPr>
        <w:footnoteReference w:id="5"/>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t>Thus, based on this definition, the trading of gasoline and kerosene futures on the TOCOM would clearly be considered to be a commodity transaction within the purview of these rules.  As a result, unless an exception otherwise applies, net gains from such transactions would be subject to immediate US taxation at a 35% federal rate.</w:t>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r>
    </w:p>
    <w:p>
      <w:pPr>
        <w:pStyle w:val="Body"/>
        <w:ind w:hanging="288" w:start="360" w:end="0"/>
        <w:rPr>
          <w:rFonts w:ascii="Times New Roman" w:hAnsi="Times New Roman" w:cs="Times New Roman"/>
          <w:b/>
          <w:bCs/>
          <w:color w:val="000000"/>
          <w:sz w:val="24"/>
        </w:rPr>
      </w:pPr>
      <w:r>
        <w:rPr>
          <w:rFonts w:cs="Times New Roman" w:ascii="Times New Roman" w:hAnsi="Times New Roman"/>
          <w:b/>
          <w:bCs/>
          <w:color w:val="000000"/>
          <w:sz w:val="24"/>
        </w:rPr>
        <w:t>2.</w:t>
        <w:tab/>
        <w:t>Qualified Active Sales Exception for Sales of Physical Commodities</w:t>
      </w:r>
    </w:p>
    <w:p>
      <w:pPr>
        <w:pStyle w:val="Body"/>
        <w:ind w:hanging="18" w:start="9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t>The Code excludes from such commodity income, gains or losses that:</w:t>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r>
    </w:p>
    <w:p>
      <w:pPr>
        <w:pStyle w:val="NormalWeb"/>
        <w:spacing w:before="0" w:after="0"/>
        <w:ind w:hanging="360" w:start="1080" w:end="720"/>
        <w:rPr>
          <w:rFonts w:ascii="Times New Roman" w:hAnsi="Times New Roman" w:cs="Times New Roman"/>
          <w:sz w:val="24"/>
        </w:rPr>
      </w:pPr>
      <w:r>
        <w:rPr>
          <w:rFonts w:cs="Times New Roman" w:ascii="Times New Roman" w:hAnsi="Times New Roman"/>
          <w:sz w:val="24"/>
        </w:rPr>
        <w:t>(i)</w:t>
        <w:tab/>
        <w:t>arise out of bona fide hedging transactions reasonably necessary to the conduct of any business by a producer, processor, merchant, or handler of a commodity in the manner in which such business is customarily and usually conducted by others, and</w:t>
      </w:r>
    </w:p>
    <w:p>
      <w:pPr>
        <w:pStyle w:val="NormalWeb"/>
        <w:spacing w:before="0" w:after="0"/>
        <w:ind w:hanging="360" w:start="1080" w:end="720"/>
        <w:rPr>
          <w:rFonts w:ascii="Times New Roman" w:hAnsi="Times New Roman" w:cs="Times New Roman"/>
          <w:sz w:val="24"/>
        </w:rPr>
      </w:pPr>
      <w:r>
        <w:rPr>
          <w:rFonts w:cs="Times New Roman" w:ascii="Times New Roman" w:hAnsi="Times New Roman"/>
          <w:sz w:val="24"/>
        </w:rPr>
        <w:t>(ii)</w:t>
        <w:tab/>
        <w:t>are active business gains or losses from the sale of commodities, but only if substantially all of the controlled foreign corporation's business is as an active producer, processor, merchant, or handler of commodities.</w:t>
      </w:r>
      <w:r>
        <w:rPr>
          <w:rStyle w:val="FootnoteCharacters"/>
          <w:rStyle w:val="FootnoteReference"/>
          <w:rFonts w:cs="Times New Roman" w:ascii="Times New Roman" w:hAnsi="Times New Roman"/>
          <w:sz w:val="24"/>
        </w:rPr>
        <w:footnoteReference w:id="6"/>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t>The Treasury Regulations expand upon these exclusions (hereinafter referred to as the “qualified hedging exception” and the “qualified sales exception,” respectively).  With respect to the qualified active sales exclusion, the Regulations provide that only qualified active sales fall within this exclusion, which they define as:</w:t>
      </w:r>
    </w:p>
    <w:p>
      <w:pPr>
        <w:pStyle w:val="Body"/>
        <w:ind w:start="720" w:end="0"/>
        <w:rPr>
          <w:rFonts w:ascii="Times New Roman" w:hAnsi="Times New Roman" w:cs="Times New Roman"/>
          <w:color w:val="000000"/>
          <w:sz w:val="24"/>
        </w:rPr>
      </w:pPr>
      <w:r>
        <w:rPr>
          <w:rFonts w:cs="Times New Roman" w:ascii="Times New Roman" w:hAnsi="Times New Roman"/>
          <w:color w:val="000000"/>
          <w:sz w:val="24"/>
        </w:rPr>
      </w:r>
    </w:p>
    <w:p>
      <w:pPr>
        <w:pStyle w:val="NormalWeb"/>
        <w:spacing w:before="0" w:after="0"/>
        <w:ind w:start="720" w:end="0"/>
        <w:rPr>
          <w:rFonts w:ascii="Times New Roman" w:hAnsi="Times New Roman" w:cs="Times New Roman"/>
          <w:sz w:val="24"/>
        </w:rPr>
      </w:pPr>
      <w:r>
        <w:rPr>
          <w:rFonts w:cs="Times New Roman" w:ascii="Times New Roman" w:hAnsi="Times New Roman"/>
          <w:sz w:val="24"/>
        </w:rPr>
        <w:t xml:space="preserve">. . . the sale of commodities in the active conduct of a commodities business as a producer, processor, merchant or handler of commodities if </w:t>
      </w:r>
      <w:r>
        <w:rPr>
          <w:rFonts w:cs="Times New Roman" w:ascii="Times New Roman" w:hAnsi="Times New Roman"/>
          <w:sz w:val="24"/>
          <w:u w:val="single"/>
        </w:rPr>
        <w:t>substantially all</w:t>
      </w:r>
      <w:r>
        <w:rPr>
          <w:rFonts w:cs="Times New Roman" w:ascii="Times New Roman" w:hAnsi="Times New Roman"/>
          <w:sz w:val="24"/>
        </w:rPr>
        <w:t xml:space="preserve"> of the controlled foreign corporation's business is as an active producer, processor, merchant or handler of commodities. The sale of commodities held by a controlled foreign corporation [i.e., a foreign subsidiary] other than in its capacity as an active producer, processor, merchant or handler of commodities is not a qualified active sale. For example, the sale by a controlled foreign corporation of commodities that were held for investment or speculation would not be a qualified active sale.</w:t>
      </w:r>
      <w:r>
        <w:rPr>
          <w:rStyle w:val="FootnoteCharacters"/>
          <w:rStyle w:val="FootnoteReference"/>
          <w:rFonts w:cs="Times New Roman" w:ascii="Times New Roman" w:hAnsi="Times New Roman"/>
          <w:sz w:val="24"/>
        </w:rPr>
        <w:footnoteReference w:id="7"/>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t>The “substantially all” requirement is met where the sum of the foreign subsidiary’s gross receipts for all of its qualified active sales of commodities and its gross receipts from all of its qualified hedging transactions (applied without regard to the substantially all requirement) equals or exceeds 85% of its total gross receipts for the taxable year.</w:t>
      </w:r>
      <w:r>
        <w:rPr>
          <w:rStyle w:val="FootnoteCharacters"/>
          <w:rStyle w:val="FootnoteReference"/>
          <w:rFonts w:cs="Times New Roman" w:ascii="Times New Roman" w:hAnsi="Times New Roman"/>
          <w:color w:val="000000"/>
          <w:sz w:val="24"/>
        </w:rPr>
        <w:footnoteReference w:id="8"/>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t>In order for a foreign subsidiary to be in the “active conduct of a commodities business,” the Regulations require that each of the following requirements be met:</w:t>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r>
    </w:p>
    <w:p>
      <w:pPr>
        <w:pStyle w:val="NormalWeb"/>
        <w:spacing w:before="0" w:after="0"/>
        <w:ind w:hanging="360" w:start="1080" w:end="0"/>
        <w:rPr>
          <w:rFonts w:ascii="Times New Roman" w:hAnsi="Times New Roman" w:cs="Times New Roman"/>
          <w:sz w:val="24"/>
        </w:rPr>
      </w:pPr>
      <w:r>
        <w:rPr>
          <w:rFonts w:cs="Times New Roman" w:ascii="Times New Roman" w:hAnsi="Times New Roman"/>
          <w:sz w:val="24"/>
        </w:rPr>
        <w:t>(1)</w:t>
        <w:tab/>
        <w:t xml:space="preserve">It holds the commodities directly, and not through an agent or independent contractor, as inventory or similar property . . . or as dealer property . . . ; and </w:t>
      </w:r>
    </w:p>
    <w:p>
      <w:pPr>
        <w:pStyle w:val="NormalWeb"/>
        <w:spacing w:before="0" w:after="0"/>
        <w:ind w:hanging="360" w:start="1080" w:end="0"/>
        <w:rPr>
          <w:rFonts w:ascii="Times New Roman" w:hAnsi="Times New Roman" w:cs="Times New Roman"/>
          <w:sz w:val="24"/>
        </w:rPr>
      </w:pPr>
      <w:r>
        <w:rPr>
          <w:rFonts w:cs="Times New Roman" w:ascii="Times New Roman" w:hAnsi="Times New Roman"/>
          <w:sz w:val="24"/>
        </w:rPr>
      </w:r>
    </w:p>
    <w:p>
      <w:pPr>
        <w:pStyle w:val="NormalWeb"/>
        <w:spacing w:before="0" w:after="0"/>
        <w:ind w:hanging="360" w:start="1080" w:end="0"/>
        <w:rPr>
          <w:rFonts w:ascii="Times New Roman" w:hAnsi="Times New Roman" w:cs="Times New Roman"/>
          <w:sz w:val="24"/>
        </w:rPr>
      </w:pPr>
      <w:r>
        <w:rPr>
          <w:rFonts w:cs="Times New Roman" w:ascii="Times New Roman" w:hAnsi="Times New Roman"/>
          <w:sz w:val="24"/>
        </w:rPr>
        <w:t>(2)</w:t>
        <w:tab/>
        <w:t xml:space="preserve">With respect to such commodities, it incurs substantial expenses in the ordinary course of a commodities business from engaging in one or more of the following activities directly, and not through an independent contractor— </w:t>
      </w:r>
    </w:p>
    <w:p>
      <w:pPr>
        <w:pStyle w:val="NormalWeb"/>
        <w:spacing w:before="0" w:after="0"/>
        <w:ind w:hanging="540" w:start="1620" w:end="0"/>
        <w:rPr>
          <w:rFonts w:ascii="Times New Roman" w:hAnsi="Times New Roman" w:cs="Times New Roman"/>
          <w:sz w:val="24"/>
        </w:rPr>
      </w:pPr>
      <w:r>
        <w:rPr>
          <w:rFonts w:cs="Times New Roman" w:ascii="Times New Roman" w:hAnsi="Times New Roman"/>
          <w:sz w:val="24"/>
        </w:rPr>
        <w:t>(i)</w:t>
        <w:tab/>
        <w:t xml:space="preserve">Substantial activities in the production of the commodities, including planting, tending or harvesting crops, raising or slaughtering livestock, or extracting minerals; </w:t>
      </w:r>
    </w:p>
    <w:p>
      <w:pPr>
        <w:pStyle w:val="NormalWeb"/>
        <w:spacing w:before="0" w:after="0"/>
        <w:ind w:hanging="540" w:start="1620" w:end="0"/>
        <w:rPr>
          <w:rFonts w:ascii="Times New Roman" w:hAnsi="Times New Roman" w:cs="Times New Roman"/>
          <w:sz w:val="24"/>
        </w:rPr>
      </w:pPr>
      <w:r>
        <w:rPr>
          <w:rFonts w:cs="Times New Roman" w:ascii="Times New Roman" w:hAnsi="Times New Roman"/>
          <w:sz w:val="24"/>
        </w:rPr>
        <w:t>(ii)</w:t>
        <w:tab/>
        <w:t xml:space="preserve">Substantial processing activities prior to the sale of the commodities, including the blending and drying of agricultural commodities, or the concentrating, refining, mixing, crushing, aerating or milling of commodities; or </w:t>
      </w:r>
    </w:p>
    <w:p>
      <w:pPr>
        <w:pStyle w:val="NormalWeb"/>
        <w:spacing w:before="0" w:after="0"/>
        <w:ind w:hanging="540" w:start="1620" w:end="0"/>
        <w:rPr>
          <w:rFonts w:ascii="Times New Roman" w:hAnsi="Times New Roman" w:cs="Times New Roman"/>
          <w:sz w:val="24"/>
        </w:rPr>
      </w:pPr>
      <w:r>
        <w:rPr>
          <w:rFonts w:cs="Times New Roman" w:ascii="Times New Roman" w:hAnsi="Times New Roman"/>
          <w:sz w:val="24"/>
        </w:rPr>
        <w:t>(iii)</w:t>
        <w:tab/>
        <w:t>Significant activities ….</w:t>
      </w:r>
    </w:p>
    <w:p>
      <w:pPr>
        <w:pStyle w:val="NormalWeb"/>
        <w:spacing w:before="0" w:after="0"/>
        <w:ind w:hanging="540" w:start="1620" w:end="0"/>
        <w:rPr>
          <w:rFonts w:ascii="Times New Roman" w:hAnsi="Times New Roman" w:cs="Times New Roman"/>
          <w:sz w:val="24"/>
        </w:rPr>
      </w:pPr>
      <w:r>
        <w:rPr>
          <w:rFonts w:cs="Times New Roman" w:ascii="Times New Roman" w:hAnsi="Times New Roman"/>
          <w:sz w:val="24"/>
        </w:rPr>
      </w:r>
    </w:p>
    <w:p>
      <w:pPr>
        <w:pStyle w:val="NormalWeb"/>
        <w:spacing w:before="0" w:after="0"/>
        <w:ind w:hanging="360" w:start="1080" w:end="0"/>
        <w:rPr>
          <w:rFonts w:ascii="Times New Roman" w:hAnsi="Times New Roman" w:cs="Times New Roman"/>
          <w:sz w:val="24"/>
        </w:rPr>
      </w:pPr>
      <w:r>
        <w:rPr>
          <w:rFonts w:cs="Times New Roman" w:ascii="Times New Roman" w:hAnsi="Times New Roman"/>
          <w:sz w:val="24"/>
        </w:rPr>
        <w:t>(3)</w:t>
        <w:tab/>
        <w:t xml:space="preserve">… the significant activities must relate to— </w:t>
      </w:r>
    </w:p>
    <w:p>
      <w:pPr>
        <w:pStyle w:val="NormalWeb"/>
        <w:spacing w:before="0" w:after="0"/>
        <w:ind w:hanging="540" w:start="1620" w:end="0"/>
        <w:rPr>
          <w:rFonts w:ascii="Times New Roman" w:hAnsi="Times New Roman" w:cs="Times New Roman"/>
          <w:sz w:val="24"/>
        </w:rPr>
      </w:pPr>
      <w:r>
        <w:rPr>
          <w:rFonts w:cs="Times New Roman" w:ascii="Times New Roman" w:hAnsi="Times New Roman"/>
          <w:sz w:val="24"/>
        </w:rPr>
        <w:t>(i)</w:t>
        <w:tab/>
        <w:t xml:space="preserve">The physical movement, handling and storage of the commodities, including preparation of contracts and invoices, arranging freight, insurance and credit, arranging for receipt, transfer or negotiation of shipping documents, arranging storage or warehousing, and dealing with quality claims; </w:t>
      </w:r>
    </w:p>
    <w:p>
      <w:pPr>
        <w:pStyle w:val="NormalWeb"/>
        <w:spacing w:before="0" w:after="0"/>
        <w:ind w:hanging="540" w:start="1620" w:end="0"/>
        <w:rPr>
          <w:rFonts w:ascii="Times New Roman" w:hAnsi="Times New Roman" w:cs="Times New Roman"/>
          <w:sz w:val="24"/>
        </w:rPr>
      </w:pPr>
      <w:r>
        <w:rPr>
          <w:rFonts w:cs="Times New Roman" w:ascii="Times New Roman" w:hAnsi="Times New Roman"/>
          <w:sz w:val="24"/>
        </w:rPr>
        <w:t>(ii)</w:t>
        <w:tab/>
        <w:t xml:space="preserve">Owning and operating facilities for storage or warehousing; or </w:t>
      </w:r>
    </w:p>
    <w:p>
      <w:pPr>
        <w:pStyle w:val="NormalWeb"/>
        <w:spacing w:before="0" w:after="0"/>
        <w:ind w:hanging="540" w:start="1620" w:end="0"/>
        <w:rPr>
          <w:rFonts w:ascii="Times New Roman" w:hAnsi="Times New Roman" w:cs="Times New Roman"/>
          <w:sz w:val="24"/>
        </w:rPr>
      </w:pPr>
      <w:r>
        <w:rPr>
          <w:rFonts w:cs="Times New Roman" w:ascii="Times New Roman" w:hAnsi="Times New Roman"/>
          <w:sz w:val="24"/>
        </w:rPr>
        <w:t>(iii)</w:t>
        <w:tab/>
        <w:t>Owning or chartering vessels or vehicles for the transportation of the commodities.</w:t>
      </w:r>
      <w:r>
        <w:rPr>
          <w:rStyle w:val="FootnoteCharacters"/>
          <w:rStyle w:val="FootnoteReference"/>
          <w:rFonts w:cs="Times New Roman" w:ascii="Times New Roman" w:hAnsi="Times New Roman"/>
          <w:sz w:val="24"/>
        </w:rPr>
        <w:footnoteReference w:id="9"/>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t xml:space="preserve">In determining whether a foreign subsidiary is in the active conduct of a commodities business, a corporation is </w:t>
      </w:r>
      <w:r>
        <w:rPr>
          <w:rFonts w:cs="Times New Roman" w:ascii="Times New Roman" w:hAnsi="Times New Roman"/>
          <w:color w:val="000000"/>
          <w:sz w:val="24"/>
          <w:u w:val="single"/>
        </w:rPr>
        <w:t>not</w:t>
      </w:r>
      <w:r>
        <w:rPr>
          <w:rFonts w:cs="Times New Roman" w:ascii="Times New Roman" w:hAnsi="Times New Roman"/>
          <w:color w:val="000000"/>
          <w:sz w:val="24"/>
        </w:rPr>
        <w:t xml:space="preserve"> considered to be engaged in a commodities business as a producer, processor, merchant, or handler of commodities if its business is primarily financial.</w:t>
      </w:r>
      <w:r>
        <w:rPr>
          <w:rStyle w:val="FootnoteCharacters"/>
          <w:rStyle w:val="FootnoteReference"/>
          <w:rFonts w:cs="Times New Roman" w:ascii="Times New Roman" w:hAnsi="Times New Roman"/>
          <w:color w:val="000000"/>
          <w:sz w:val="24"/>
        </w:rPr>
        <w:footnoteReference w:id="10"/>
      </w:r>
      <w:r>
        <w:rPr>
          <w:rFonts w:cs="Times New Roman" w:ascii="Times New Roman" w:hAnsi="Times New Roman"/>
          <w:color w:val="000000"/>
          <w:sz w:val="24"/>
        </w:rPr>
        <w:t xml:space="preserve">  The regulations give as an example that a business of a foreign subsidiary is primarily financial if its principal business is making a market in notional principal contracts based on a commodity index.</w:t>
      </w:r>
      <w:r>
        <w:rPr>
          <w:rStyle w:val="FootnoteCharacters"/>
          <w:rStyle w:val="FootnoteReference"/>
          <w:rFonts w:cs="Times New Roman" w:ascii="Times New Roman" w:hAnsi="Times New Roman"/>
          <w:color w:val="000000"/>
          <w:sz w:val="24"/>
        </w:rPr>
        <w:footnoteReference w:id="11"/>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t>Under these rules, the futures trading on the TOCOM would not meet the qualified active sales exception.  First, the trading would be primarily financial because 95% of such futures would be settled financially.  Second, such trading would not constitute the active conduct of a commodities business because only 5% of such futures would relate to the movement, shipment, handling, etc. of the underlying commodities (i.e., the gasoline and kerosene).  As a result, the futures should not be traded through EJMC because not only would they not meet the qualified active sales exception, but they could cause the other physical income generated by EJMC to be subject to immediate US taxation because EJMC wouldn’t meet the 85% gross receipts requirement set forth above.</w:t>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r>
    </w:p>
    <w:p>
      <w:pPr>
        <w:pStyle w:val="Body"/>
        <w:ind w:hanging="288" w:start="360" w:end="0"/>
        <w:rPr>
          <w:rFonts w:ascii="Times New Roman" w:hAnsi="Times New Roman" w:cs="Times New Roman"/>
          <w:b/>
          <w:bCs/>
          <w:color w:val="000000"/>
          <w:sz w:val="24"/>
        </w:rPr>
      </w:pPr>
      <w:r>
        <w:rPr>
          <w:rFonts w:cs="Times New Roman" w:ascii="Times New Roman" w:hAnsi="Times New Roman"/>
          <w:b/>
          <w:bCs/>
          <w:color w:val="000000"/>
          <w:sz w:val="24"/>
        </w:rPr>
        <w:t>3.</w:t>
        <w:tab/>
        <w:t>Dealer Exception for Financial Instruments</w:t>
      </w:r>
    </w:p>
    <w:p>
      <w:pPr>
        <w:pStyle w:val="Body"/>
        <w:ind w:hanging="18" w:start="9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t>The Code also provides another exception from the general rule of immediate US taxation on net gains from commodity transactions.  Under this exception, income earned by  a regular dealer of forward contracts, option contracts or similar financial instruments (including notional principal contracts and all instruments referenced to commodities) will not be subject to immediate US taxation on income (other than certain types of passive income such as dividends and interest) from any transaction (including hedging transactions) entered into in the ordinary course of such dealer’s trade or business as such a dealer.</w:t>
      </w:r>
      <w:r>
        <w:rPr>
          <w:rStyle w:val="FootnoteCharacters"/>
          <w:rStyle w:val="FootnoteReference"/>
          <w:rFonts w:cs="Times New Roman" w:ascii="Times New Roman" w:hAnsi="Times New Roman"/>
          <w:color w:val="000000"/>
          <w:sz w:val="24"/>
        </w:rPr>
        <w:footnoteReference w:id="12"/>
      </w:r>
    </w:p>
    <w:p>
      <w:pPr>
        <w:pStyle w:val="Body"/>
        <w:ind w:hanging="18" w:start="90" w:end="0"/>
        <w:rPr>
          <w:rFonts w:ascii="Times New Roman" w:hAnsi="Times New Roman" w:cs="Times New Roman"/>
          <w:color w:val="000000"/>
          <w:sz w:val="24"/>
        </w:rPr>
      </w:pPr>
      <w:r>
        <w:rPr>
          <w:rFonts w:cs="Times New Roman" w:ascii="Times New Roman" w:hAnsi="Times New Roman"/>
          <w:color w:val="000000"/>
          <w:sz w:val="24"/>
        </w:rPr>
      </w:r>
    </w:p>
    <w:p>
      <w:pPr>
        <w:pStyle w:val="Body"/>
        <w:ind w:hanging="18" w:start="90" w:end="0"/>
        <w:rPr/>
      </w:pPr>
      <w:r>
        <w:rPr>
          <w:rFonts w:cs="Times New Roman" w:ascii="Times New Roman" w:hAnsi="Times New Roman"/>
          <w:color w:val="000000"/>
          <w:sz w:val="24"/>
        </w:rPr>
        <w:t xml:space="preserve">Income from the TOCOM futures trading should fall within this exception if EJC were the entity to enter into such trading.  The question then becomes, however, whether income from the subsequent sales of the underlying commodities (i.e., the gasoline and kerosene) would fall within this exclusion.  I am currently in the process of reviewing whether a few isolated sales of physical commodities could fall within this exception.  I will let you know as soon as I complete this research, which should be within the next couple of days.  I am researching this issue based on the assumption that </w:t>
      </w:r>
      <w:r>
        <w:rPr>
          <w:rFonts w:cs="Times New Roman" w:ascii="Times New Roman" w:hAnsi="Times New Roman"/>
          <w:color w:val="000000"/>
          <w:sz w:val="24"/>
          <w:u w:val="single"/>
        </w:rPr>
        <w:t>only</w:t>
      </w:r>
      <w:r>
        <w:rPr>
          <w:rFonts w:cs="Times New Roman" w:ascii="Times New Roman" w:hAnsi="Times New Roman"/>
          <w:color w:val="000000"/>
          <w:sz w:val="24"/>
        </w:rPr>
        <w:t xml:space="preserve"> 5% of the futures would be physically settled.  Please let me know </w:t>
      </w:r>
      <w:r>
        <w:rPr>
          <w:rFonts w:cs="Times New Roman" w:ascii="Times New Roman" w:hAnsi="Times New Roman"/>
          <w:color w:val="000000"/>
          <w:sz w:val="24"/>
          <w:u w:val="single"/>
        </w:rPr>
        <w:t>immediately</w:t>
      </w:r>
      <w:r>
        <w:rPr>
          <w:rFonts w:cs="Times New Roman" w:ascii="Times New Roman" w:hAnsi="Times New Roman"/>
          <w:color w:val="000000"/>
          <w:sz w:val="24"/>
        </w:rPr>
        <w:t xml:space="preserve"> if this assumption has changed because such change could materially affect the conclusions reached from such research.</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CopyList"/>
        <w:rPr/>
      </w:pPr>
      <w:r>
        <w:rPr/>
        <w:t>CC:  Jane McBride</w:t>
      </w:r>
    </w:p>
    <w:p>
      <w:pPr>
        <w:pStyle w:val="CopyList"/>
        <w:rPr/>
      </w:pPr>
      <w:r>
        <w:rPr/>
      </w:r>
    </w:p>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510" w:leader="none"/>
        <w:tab w:val="center" w:pos="711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160" w:leader="none"/>
        <w:tab w:val="left" w:pos="4680" w:leader="none"/>
        <w:tab w:val="left" w:pos="747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iCs/>
        </w:rPr>
        <w:t>See</w:t>
      </w:r>
      <w:r>
        <w:rPr/>
        <w:t xml:space="preserve"> I.R.C. § 954(c)(1)(C).  These companies were set up as KKs because the use of KKs is more readily accepted in the Japanese business arena than other forms of doing business.  KKs are treated as per se corporations for US tax purposes.  As a result, these companies generally cannot distribute earnings to their Dutch BV parents without the dividends being subject to immediate US taxation at a 35% federal rate.</w:t>
      </w:r>
    </w:p>
  </w:footnote>
  <w:footnote w:id="3">
    <w:p>
      <w:pPr>
        <w:pStyle w:val="FootnoteText"/>
        <w:rPr/>
      </w:pPr>
      <w:r>
        <w:rPr>
          <w:rStyle w:val="FootnoteCharacters"/>
        </w:rPr>
        <w:footnoteRef/>
      </w:r>
      <w:r>
        <w:rPr/>
        <w:t xml:space="preserve"> </w:t>
      </w:r>
      <w:r>
        <w:rPr/>
        <w:t>A “controlled foreign corporation” is generally a foreign (i.e., non-US) subsidiary that is more than 50% owned by vote or value by US shareholders that each own at least 10% of the voting power of the foreign subsidiary.</w:t>
      </w:r>
    </w:p>
  </w:footnote>
  <w:footnote w:id="4">
    <w:p>
      <w:pPr>
        <w:pStyle w:val="FootnoteText"/>
        <w:rPr/>
      </w:pPr>
      <w:r>
        <w:rPr>
          <w:rStyle w:val="FootnoteCharacters"/>
        </w:rPr>
        <w:footnoteRef/>
      </w:r>
      <w:r>
        <w:rPr/>
        <w:t xml:space="preserve"> </w:t>
      </w:r>
      <w:r>
        <w:rPr/>
        <w:t>I.R.C. § 954(c)(1)(C).</w:t>
      </w:r>
    </w:p>
  </w:footnote>
  <w:footnote w:id="5">
    <w:p>
      <w:pPr>
        <w:pStyle w:val="FootnoteText"/>
        <w:rPr/>
      </w:pPr>
      <w:r>
        <w:rPr>
          <w:rStyle w:val="FootnoteCharacters"/>
        </w:rPr>
        <w:footnoteRef/>
      </w:r>
      <w:r>
        <w:rPr/>
        <w:t xml:space="preserve"> </w:t>
      </w:r>
      <w:r>
        <w:rPr/>
        <w:t>Treas. Reg. § 1.954-2(f)(2)(ii).</w:t>
      </w:r>
    </w:p>
  </w:footnote>
  <w:footnote w:id="6">
    <w:p>
      <w:pPr>
        <w:pStyle w:val="FootnoteText"/>
        <w:rPr/>
      </w:pPr>
      <w:r>
        <w:rPr>
          <w:rStyle w:val="FootnoteCharacters"/>
        </w:rPr>
        <w:footnoteRef/>
      </w:r>
      <w:r>
        <w:rPr/>
        <w:t xml:space="preserve"> </w:t>
      </w:r>
      <w:r>
        <w:rPr/>
        <w:t>I.R.C. § 954(c(1)(C)(i) and (ii).</w:t>
      </w:r>
    </w:p>
  </w:footnote>
  <w:footnote w:id="7">
    <w:p>
      <w:pPr>
        <w:pStyle w:val="FootnoteText"/>
        <w:rPr/>
      </w:pPr>
      <w:r>
        <w:rPr>
          <w:rStyle w:val="FootnoteCharacters"/>
        </w:rPr>
        <w:footnoteRef/>
      </w:r>
      <w:r>
        <w:rPr/>
        <w:t xml:space="preserve"> </w:t>
      </w:r>
      <w:r>
        <w:rPr/>
        <w:t>Treas. Reg. § 1.954-2(f)(2)(iii)(A).</w:t>
      </w:r>
    </w:p>
  </w:footnote>
  <w:footnote w:id="8">
    <w:p>
      <w:pPr>
        <w:pStyle w:val="FootnoteText"/>
        <w:rPr/>
      </w:pPr>
      <w:r>
        <w:rPr>
          <w:rStyle w:val="FootnoteCharacters"/>
        </w:rPr>
        <w:footnoteRef/>
      </w:r>
      <w:r>
        <w:rPr/>
        <w:t xml:space="preserve"> </w:t>
      </w:r>
      <w:r>
        <w:rPr/>
        <w:t>Treas. Reg. § 1.954-2(f)(2)(iii)(C).  These regulations further provide that the IRS may disregard any sale or hedging transaction that has as a principal purpose the manipulation of the 85% gross receipts test, and that a purpose may be a principal purpose even though it is outweighed by other purposes (taken together or separately).</w:t>
      </w:r>
    </w:p>
  </w:footnote>
  <w:footnote w:id="9">
    <w:p>
      <w:pPr>
        <w:pStyle w:val="FootnoteText"/>
        <w:rPr/>
      </w:pPr>
      <w:r>
        <w:rPr>
          <w:rStyle w:val="FootnoteCharacters"/>
        </w:rPr>
        <w:footnoteRef/>
      </w:r>
      <w:r>
        <w:rPr/>
        <w:t xml:space="preserve"> </w:t>
      </w:r>
      <w:r>
        <w:rPr/>
        <w:t>Treas. Reg. § 1.954-2(f)(2)(iii)(B).</w:t>
      </w:r>
    </w:p>
  </w:footnote>
  <w:footnote w:id="10">
    <w:p>
      <w:pPr>
        <w:pStyle w:val="FootnoteText"/>
        <w:rPr/>
      </w:pPr>
      <w:r>
        <w:rPr>
          <w:rStyle w:val="FootnoteCharacters"/>
        </w:rPr>
        <w:footnoteRef/>
      </w:r>
      <w:r>
        <w:rPr/>
        <w:t xml:space="preserve"> </w:t>
      </w:r>
      <w:r>
        <w:rPr/>
        <w:t>Treas. Reg. § 1.954-2(f)(2)(iii)(E).</w:t>
      </w:r>
    </w:p>
  </w:footnote>
  <w:footnote w:id="11">
    <w:p>
      <w:pPr>
        <w:pStyle w:val="FootnoteText"/>
        <w:rPr/>
      </w:pPr>
      <w:r>
        <w:rPr>
          <w:rStyle w:val="FootnoteCharacters"/>
        </w:rPr>
        <w:footnoteRef/>
      </w:r>
      <w:r>
        <w:rPr/>
        <w:t xml:space="preserve"> </w:t>
      </w:r>
      <w:r>
        <w:rPr>
          <w:u w:val="single"/>
        </w:rPr>
        <w:t>Id.</w:t>
      </w:r>
    </w:p>
  </w:footnote>
  <w:footnote w:id="12">
    <w:p>
      <w:pPr>
        <w:pStyle w:val="FootnoteText"/>
        <w:rPr/>
      </w:pPr>
      <w:r>
        <w:rPr>
          <w:rStyle w:val="FootnoteCharacters"/>
        </w:rPr>
        <w:footnoteRef/>
      </w:r>
      <w:r>
        <w:rPr/>
        <w:t xml:space="preserve"> </w:t>
      </w:r>
      <w:r>
        <w:rPr/>
        <w:t>I.R.C. § 954(c)(2)(C).</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5310" w:leader="none"/>
        <w:tab w:val="right" w:pos="8640" w:leader="none"/>
      </w:tabs>
      <w:rPr>
        <w:rFonts w:ascii="Times New Roman" w:hAnsi="Times New Roman" w:cs="Times New Roman"/>
        <w:sz w:val="20"/>
      </w:rPr>
    </w:pPr>
    <w:r>
      <w:rPr>
        <w:sz w:val="20"/>
      </w:rPr>
      <w:tab/>
    </w:r>
    <w:r>
      <w:rPr>
        <w:b/>
        <w:bCs/>
        <w:sz w:val="20"/>
      </w:rPr>
      <w:t xml:space="preserve">DRAFT of </w:t>
    </w:r>
    <w:r>
      <w:rPr>
        <w:rFonts w:cs="Times New Roman" w:ascii="Times New Roman" w:hAnsi="Times New Roman"/>
        <w:sz w:val="20"/>
      </w:rPr>
      <w:t>June 22, 2001</w:t>
    </w:r>
    <w:r>
      <w:rPr>
        <w:sz w:val="20"/>
      </w:rPr>
      <w:tab/>
    </w:r>
    <w:r>
      <w:rPr>
        <w:rFonts w:cs="Times New Roman" w:ascii="Times New Roman" w:hAnsi="Times New Roman"/>
        <w:sz w:val="20"/>
      </w:rPr>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5</w:t>
    </w:r>
    <w:r>
      <w:rPr>
        <w:sz w:val="20"/>
        <w:rFonts w:cs="Times New Roman" w:ascii="Times New Roman" w:hAnsi="Times New Roman"/>
      </w:rPr>
      <w:fldChar w:fldCharType="end"/>
    </w:r>
  </w:p>
  <w:p>
    <w:pPr>
      <w:pStyle w:val="Header"/>
      <w:tabs>
        <w:tab w:val="center" w:pos="4320" w:leader="none"/>
        <w:tab w:val="left" w:pos="5310" w:leader="none"/>
        <w:tab w:val="right" w:pos="8640" w:leader="none"/>
      </w:tabs>
      <w:rPr>
        <w:rFonts w:ascii="Times New Roman" w:hAnsi="Times New Roman" w:cs="Times New Roman"/>
        <w:sz w:val="20"/>
      </w:rPr>
    </w:pPr>
    <w:r>
      <w:rPr>
        <w:rFonts w:cs="Times New Roman" w:ascii="Times New Roman" w:hAnsi="Times New Roman"/>
        <w:sz w:val="20"/>
      </w:rPr>
    </w:r>
  </w:p>
  <w:p>
    <w:pPr>
      <w:pStyle w:val="Header"/>
      <w:tabs>
        <w:tab w:val="center" w:pos="4320" w:leader="none"/>
        <w:tab w:val="left" w:pos="5310" w:leader="none"/>
        <w:tab w:val="right" w:pos="8640" w:leader="none"/>
      </w:tabs>
      <w:rPr>
        <w:rFonts w:ascii="Times New Roman" w:hAnsi="Times New Roman" w:cs="Times New Roman"/>
        <w:sz w:val="20"/>
      </w:rPr>
    </w:pPr>
    <w:r>
      <w:rPr>
        <w:rFonts w:cs="Times New Roman" w:ascii="Times New Roman" w:hAnsi="Times New Roman"/>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Memorandum-DRAFT-</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Memorandum-DRAFT-</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Times New Roman" w:hAnsi="CG Times;Times New Roman" w:cs="CG Times;Times New Roman"/>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NormalWeb">
    <w:name w:val="Normal (Web)"/>
    <w:basedOn w:val="Normal"/>
    <w:qFormat/>
    <w:pPr>
      <w:tabs>
        <w:tab w:val="clear" w:pos="540"/>
      </w:tabs>
      <w:overflowPunct w:val="true"/>
      <w:autoSpaceDE w:val="true"/>
      <w:spacing w:before="100" w:after="100"/>
      <w:textAlignment w:val="auto"/>
    </w:pPr>
    <w:rPr>
      <w:rFonts w:ascii="Verdana" w:hAnsi="Verdana" w:eastAsia="Arial Unicode MS" w:cs="Arial Unicode MS"/>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2001-06-25T02:27:00Z</dcterms:created>
  <dc:creator>smusch</dc:creator>
  <dc:description/>
  <dc:language>en-CA</dc:language>
  <cp:lastModifiedBy>jbekeng</cp:lastModifiedBy>
  <cp:lastPrinted>2001-06-24T16:08:00Z</cp:lastPrinted>
  <dcterms:modified xsi:type="dcterms:W3CDTF">2001-06-25T02:27:00Z</dcterms:modified>
  <cp:revision>2</cp:revision>
  <dc:subject/>
  <dc:title>Better, Faster, Simpler Memo </dc:title>
</cp:coreProperties>
</file>