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1358" w:type="dxa"/>
        <w:jc w:val="start"/>
        <w:tblInd w:w="200" w:type="dxa"/>
        <w:tblLayout w:type="fixed"/>
        <w:tblCellMar>
          <w:top w:w="0" w:type="dxa"/>
          <w:start w:w="108" w:type="dxa"/>
          <w:bottom w:w="0" w:type="dxa"/>
          <w:end w:w="108" w:type="dxa"/>
        </w:tblCellMar>
      </w:tblPr>
      <w:tblGrid>
        <w:gridCol w:w="988"/>
        <w:gridCol w:w="370"/>
        <w:gridCol w:w="5490"/>
        <w:gridCol w:w="370"/>
        <w:gridCol w:w="805"/>
        <w:gridCol w:w="370"/>
        <w:gridCol w:w="2595"/>
        <w:gridCol w:w="370"/>
      </w:tblGrid>
      <w:tr>
        <w:trPr>
          <w:trHeight w:val="300" w:hRule="exact"/>
        </w:trPr>
        <w:tc>
          <w:tcPr>
            <w:tcW w:w="98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To:</w:t>
            </w:r>
          </w:p>
        </w:tc>
        <w:tc>
          <w:tcPr>
            <w:tcW w:w="5860" w:type="dxa"/>
            <w:gridSpan w:val="2"/>
            <w:tcBorders/>
          </w:tcPr>
          <w:p>
            <w:pPr>
              <w:pStyle w:val="To"/>
              <w:rPr>
                <w:rFonts w:ascii="Times New Roman" w:hAnsi="Times New Roman" w:cs="Times New Roman"/>
              </w:rPr>
            </w:pPr>
            <w:r>
              <w:rPr>
                <w:rFonts w:cs="Times New Roman" w:ascii="Times New Roman" w:hAnsi="Times New Roman"/>
              </w:rPr>
              <w:t>Joe Hirl</w:t>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7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216" w:hRule="exact"/>
        </w:trPr>
        <w:tc>
          <w:tcPr>
            <w:tcW w:w="1358" w:type="dxa"/>
            <w:gridSpan w:val="2"/>
            <w:tcBorders/>
          </w:tcPr>
          <w:p>
            <w:pPr>
              <w:pStyle w:val="Normal"/>
              <w:tabs>
                <w:tab w:val="clear" w:pos="540"/>
              </w:tabs>
              <w:snapToGrid w:val="false"/>
              <w:ind w:start="-180" w:end="0"/>
              <w:jc w:val="end"/>
              <w:rPr>
                <w:rFonts w:ascii="Times New Roman" w:hAnsi="Times New Roman" w:cs="Times New Roman"/>
                <w:sz w:val="20"/>
              </w:rPr>
            </w:pPr>
            <w:r>
              <w:rPr>
                <w:rFonts w:cs="Times New Roman" w:ascii="Times New Roman" w:hAnsi="Times New Roman"/>
                <w:sz w:val="20"/>
              </w:rPr>
            </w:r>
          </w:p>
        </w:tc>
        <w:tc>
          <w:tcPr>
            <w:tcW w:w="5860"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98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From:</w:t>
            </w:r>
          </w:p>
        </w:tc>
        <w:tc>
          <w:tcPr>
            <w:tcW w:w="5860" w:type="dxa"/>
            <w:gridSpan w:val="2"/>
            <w:tcBorders/>
          </w:tcPr>
          <w:p>
            <w:pPr>
              <w:pStyle w:val="From"/>
              <w:rPr>
                <w:rFonts w:ascii="Times New Roman" w:hAnsi="Times New Roman" w:cs="Times New Roman"/>
              </w:rPr>
            </w:pPr>
            <w:r>
              <w:rPr>
                <w:rFonts w:cs="Times New Roman" w:ascii="Times New Roman" w:hAnsi="Times New Roman"/>
              </w:rPr>
              <w:t>Jan-Erland Bekeng</w:t>
            </w:r>
          </w:p>
        </w:tc>
        <w:tc>
          <w:tcPr>
            <w:tcW w:w="1175" w:type="dxa"/>
            <w:gridSpan w:val="2"/>
            <w:tcBorders/>
          </w:tcPr>
          <w:p>
            <w:pPr>
              <w:pStyle w:val="Normal"/>
              <w:ind w:start="-180" w:end="0"/>
              <w:jc w:val="end"/>
              <w:rPr>
                <w:rFonts w:ascii="Times New Roman" w:hAnsi="Times New Roman" w:cs="Times New Roman"/>
                <w:sz w:val="20"/>
              </w:rPr>
            </w:pPr>
            <w:r>
              <w:rPr>
                <w:rFonts w:cs="Times New Roman" w:ascii="Times New Roman" w:hAnsi="Times New Roman"/>
                <w:sz w:val="20"/>
              </w:rPr>
              <w:t>Department:</w:t>
            </w:r>
          </w:p>
        </w:tc>
        <w:tc>
          <w:tcPr>
            <w:tcW w:w="2965" w:type="dxa"/>
            <w:gridSpan w:val="2"/>
            <w:tcBorders/>
          </w:tcPr>
          <w:p>
            <w:pPr>
              <w:pStyle w:val="Department"/>
              <w:rPr>
                <w:rFonts w:ascii="Times New Roman" w:hAnsi="Times New Roman" w:cs="Times New Roman"/>
              </w:rPr>
            </w:pPr>
            <w:bookmarkStart w:id="0" w:name="From"/>
            <w:bookmarkEnd w:id="0"/>
            <w:r>
              <w:rPr>
                <w:rFonts w:cs="Times New Roman" w:ascii="Times New Roman" w:hAnsi="Times New Roman"/>
              </w:rPr>
              <w:t>Enron Japan</w:t>
            </w:r>
          </w:p>
        </w:tc>
        <w:tc>
          <w:tcPr>
            <w:tcW w:w="37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98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Copy:</w:t>
            </w:r>
          </w:p>
        </w:tc>
        <w:tc>
          <w:tcPr>
            <w:tcW w:w="5860" w:type="dxa"/>
            <w:gridSpan w:val="2"/>
            <w:tcBorders/>
          </w:tcPr>
          <w:p>
            <w:pPr>
              <w:pStyle w:val="Normal"/>
              <w:rPr>
                <w:rFonts w:ascii="Times New Roman" w:hAnsi="Times New Roman" w:cs="Times New Roman"/>
                <w:sz w:val="20"/>
              </w:rPr>
            </w:pPr>
            <w:r>
              <w:rPr>
                <w:rFonts w:cs="Times New Roman" w:ascii="Times New Roman" w:hAnsi="Times New Roman"/>
                <w:sz w:val="20"/>
              </w:rPr>
              <w:t>Morten Erik Pettersen, Jane McBride, Susan Musch</w:t>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70"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988"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Subject:</w:t>
            </w:r>
          </w:p>
        </w:tc>
        <w:tc>
          <w:tcPr>
            <w:tcW w:w="5860" w:type="dxa"/>
            <w:gridSpan w:val="2"/>
            <w:tcBorders>
              <w:bottom w:val="single" w:sz="12" w:space="0" w:color="000000"/>
            </w:tcBorders>
          </w:tcPr>
          <w:p>
            <w:pPr>
              <w:pStyle w:val="Subject"/>
              <w:rPr>
                <w:rFonts w:ascii="Times New Roman" w:hAnsi="Times New Roman" w:cs="Times New Roman"/>
              </w:rPr>
            </w:pPr>
            <w:r>
              <w:rPr>
                <w:rFonts w:cs="Times New Roman" w:ascii="Times New Roman" w:hAnsi="Times New Roman"/>
              </w:rPr>
              <w:t>Establishment on TOCOM</w:t>
            </w:r>
          </w:p>
        </w:tc>
        <w:tc>
          <w:tcPr>
            <w:tcW w:w="1175" w:type="dxa"/>
            <w:gridSpan w:val="2"/>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Date:</w:t>
            </w:r>
          </w:p>
        </w:tc>
        <w:tc>
          <w:tcPr>
            <w:tcW w:w="2965" w:type="dxa"/>
            <w:gridSpan w:val="2"/>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c>
          <w:tcPr>
            <w:tcW w:w="37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bl>
    <w:p>
      <w:pPr>
        <w:pStyle w:val="Body"/>
        <w:rPr>
          <w:rFonts w:ascii="Times New Roman" w:hAnsi="Times New Roman" w:cs="Times New Roman"/>
          <w:color w:val="000000"/>
          <w:sz w:val="24"/>
        </w:rPr>
      </w:pPr>
      <w:r>
        <w:rPr>
          <w:rFonts w:cs="Times New Roman" w:ascii="Times New Roman" w:hAnsi="Times New Roman"/>
          <w:color w:val="000000"/>
          <w:sz w:val="24"/>
        </w:rPr>
      </w:r>
      <w:bookmarkStart w:id="1" w:name="StartOfMemo"/>
      <w:bookmarkStart w:id="2" w:name="StartOfMemo"/>
      <w:bookmarkEnd w:id="2"/>
    </w:p>
    <w:p>
      <w:pPr>
        <w:pStyle w:val="Body"/>
        <w:rPr>
          <w:rFonts w:ascii="Times New Roman" w:hAnsi="Times New Roman" w:cs="Times New Roman"/>
          <w:color w:val="000000"/>
          <w:sz w:val="24"/>
        </w:rPr>
      </w:pPr>
      <w:r>
        <w:rPr>
          <w:rFonts w:cs="Times New Roman" w:ascii="Times New Roman" w:hAnsi="Times New Roman"/>
          <w:color w:val="000000"/>
          <w:sz w:val="24"/>
        </w:rPr>
        <w:t xml:space="preserve">This memo is discussing different options on how to establish a membership on Tokyo Commodity Exchange (TOCOM), the cost attached to each option, equity/funding needs for each option and the time it takes to implement each option. </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EXECUTIVE SUMMARY</w:t>
      </w:r>
    </w:p>
    <w:p>
      <w:pPr>
        <w:pStyle w:val="Body"/>
        <w:rPr>
          <w:rFonts w:ascii="Times New Roman" w:hAnsi="Times New Roman" w:cs="Times New Roman"/>
          <w:b/>
          <w:bCs/>
          <w:color w:val="000000"/>
          <w:sz w:val="24"/>
        </w:rPr>
      </w:pPr>
      <w:r>
        <w:rPr>
          <w:rFonts w:cs="Times New Roman" w:ascii="Times New Roman" w:hAnsi="Times New Roman"/>
          <w:b/>
          <w:bCs/>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The schedule contains a summary of the different options discussed below (All numbers in Thousand USD):</w:t>
      </w:r>
    </w:p>
    <w:p>
      <w:pPr>
        <w:pStyle w:val="Body"/>
        <w:rPr>
          <w:rFonts w:ascii="Times New Roman" w:hAnsi="Times New Roman" w:cs="Times New Roman"/>
          <w:b/>
          <w:bCs/>
          <w:color w:val="000000"/>
          <w:sz w:val="24"/>
        </w:rPr>
      </w:pPr>
      <w:r>
        <w:rPr>
          <w:rFonts w:cs="Times New Roman" w:ascii="Times New Roman" w:hAnsi="Times New Roman"/>
          <w:b/>
          <w:bCs/>
          <w:color w:val="000000"/>
          <w:sz w:val="24"/>
        </w:rPr>
      </w:r>
    </w:p>
    <w:tbl>
      <w:tblPr>
        <w:tblW w:w="9504" w:type="dxa"/>
        <w:jc w:val="start"/>
        <w:tblInd w:w="72" w:type="dxa"/>
        <w:tblLayout w:type="fixed"/>
        <w:tblCellMar>
          <w:top w:w="0" w:type="dxa"/>
          <w:start w:w="108" w:type="dxa"/>
          <w:bottom w:w="0" w:type="dxa"/>
          <w:end w:w="108" w:type="dxa"/>
        </w:tblCellMar>
      </w:tblPr>
      <w:tblGrid>
        <w:gridCol w:w="1465"/>
        <w:gridCol w:w="1509"/>
        <w:gridCol w:w="1306"/>
        <w:gridCol w:w="1566"/>
        <w:gridCol w:w="1231"/>
        <w:gridCol w:w="1142"/>
        <w:gridCol w:w="1285"/>
      </w:tblGrid>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Options</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Startup Costs/Funding</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Minimum Equity Needs</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Audit/Disclosure</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Tax</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Timing</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jc w:val="center"/>
              <w:rPr>
                <w:rFonts w:ascii="Times New Roman" w:hAnsi="Times New Roman" w:cs="Times New Roman"/>
                <w:b/>
                <w:bCs/>
                <w:color w:val="000000"/>
                <w:sz w:val="18"/>
              </w:rPr>
            </w:pPr>
            <w:r>
              <w:rPr>
                <w:rFonts w:cs="Times New Roman" w:ascii="Times New Roman" w:hAnsi="Times New Roman"/>
                <w:b/>
                <w:bCs/>
                <w:color w:val="000000"/>
                <w:sz w:val="18"/>
              </w:rPr>
              <w:t>Other</w:t>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i/>
                <w:iCs/>
                <w:color w:val="000000"/>
                <w:sz w:val="18"/>
              </w:rPr>
              <w:t>1) Establish regular TOCOM membership in a SPV</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120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310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430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160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isolated from other Enron activities in Japan</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mixed in one company, causing Phys. subject to immediate US Taxation.</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12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covers equity needs.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US Tax exposure isolated from other Enron activities in Japan.</w:t>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b/>
                <w:bCs/>
                <w:color w:val="000000"/>
                <w:sz w:val="18"/>
              </w:rPr>
            </w:pPr>
            <w:r>
              <w:rPr>
                <w:rFonts w:cs="Times New Roman" w:ascii="Times New Roman" w:hAnsi="Times New Roman"/>
                <w:i/>
                <w:iCs/>
                <w:color w:val="000000"/>
                <w:sz w:val="18"/>
              </w:rPr>
              <w:t>2) Establish regular TOCOM membership in EJ</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120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310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430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15,000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blended with other Enron activities in Japan</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mixed in one company, causing Phys. subject to immediate US Taxation.</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10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do not cover equity needs.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b/>
                <w:bCs/>
                <w:color w:val="000000"/>
                <w:sz w:val="18"/>
              </w:rPr>
            </w:pPr>
            <w:r>
              <w:rPr>
                <w:rFonts w:cs="Times New Roman" w:ascii="Times New Roman" w:hAnsi="Times New Roman"/>
                <w:i/>
                <w:iCs/>
                <w:color w:val="000000"/>
                <w:sz w:val="18"/>
              </w:rPr>
              <w:t>3) Establish regular TOCOM membership in EJM</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120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310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430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80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blended with other Enron activities in Japan</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mixed in one company, causing Phys. subject to immediate US Taxation.</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10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covers equity needs</w:t>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b/>
                <w:bCs/>
                <w:color w:val="000000"/>
                <w:sz w:val="18"/>
              </w:rPr>
            </w:pPr>
            <w:r>
              <w:rPr>
                <w:rFonts w:cs="Times New Roman" w:ascii="Times New Roman" w:hAnsi="Times New Roman"/>
                <w:i/>
                <w:iCs/>
                <w:color w:val="000000"/>
                <w:sz w:val="18"/>
              </w:rPr>
              <w:t>4) Establish Broker TOCOM membership</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140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310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450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EJ 15,000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SPV 650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blended with other Enron activities in Japan, if not set up in a SPV</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segregated, avoiding immediate US taxation</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EJ 10 weeks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SPV 12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do not cover equity needs.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More disclosure.</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More Middle Office work.</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Difficult initially to decide if deal is F or P</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Needs Broker License</w:t>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b/>
                <w:bCs/>
                <w:color w:val="000000"/>
                <w:sz w:val="18"/>
              </w:rPr>
            </w:pPr>
            <w:r>
              <w:rPr>
                <w:rFonts w:cs="Times New Roman" w:ascii="Times New Roman" w:hAnsi="Times New Roman"/>
                <w:i/>
                <w:iCs/>
                <w:color w:val="000000"/>
                <w:sz w:val="18"/>
              </w:rPr>
              <w:t>5) Establish two regular TOCOM memberships, one for EJ and on for EJM</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280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620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900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15,080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blended with other Enron activities in Japan, if not set up in a SPV</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segregated, avoiding immediate US taxation</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10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do not cover equity needs.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tc>
      </w:tr>
      <w:tr>
        <w:trPr/>
        <w:tc>
          <w:tcPr>
            <w:tcW w:w="146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b/>
                <w:bCs/>
                <w:color w:val="000000"/>
                <w:sz w:val="18"/>
              </w:rPr>
            </w:pPr>
            <w:r>
              <w:rPr>
                <w:rFonts w:cs="Times New Roman" w:ascii="Times New Roman" w:hAnsi="Times New Roman"/>
                <w:i/>
                <w:iCs/>
                <w:color w:val="000000"/>
                <w:sz w:val="18"/>
              </w:rPr>
              <w:t>6) Establish two regular TOCOM memberships, two separate SPV’s</w:t>
            </w:r>
          </w:p>
        </w:tc>
        <w:tc>
          <w:tcPr>
            <w:tcW w:w="1509"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Dep. 280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Cost 620</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Funding 900</w:t>
            </w:r>
          </w:p>
        </w:tc>
        <w:tc>
          <w:tcPr>
            <w:tcW w:w="130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320</w:t>
            </w:r>
          </w:p>
        </w:tc>
        <w:tc>
          <w:tcPr>
            <w:tcW w:w="1566"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TOCOM activities isolated from other Enron activities in Japan</w:t>
            </w:r>
          </w:p>
        </w:tc>
        <w:tc>
          <w:tcPr>
            <w:tcW w:w="1231"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Fin. and Phys. segregated, avoiding immediate US taxation</w:t>
            </w:r>
          </w:p>
        </w:tc>
        <w:tc>
          <w:tcPr>
            <w:tcW w:w="1142"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12 weeks</w:t>
            </w:r>
          </w:p>
        </w:tc>
        <w:tc>
          <w:tcPr>
            <w:tcW w:w="1285" w:type="dxa"/>
            <w:tcBorders>
              <w:top w:val="single" w:sz="4" w:space="0" w:color="000000"/>
              <w:start w:val="single" w:sz="4" w:space="0" w:color="000000"/>
              <w:bottom w:val="single" w:sz="4" w:space="0" w:color="000000"/>
              <w:end w:val="single" w:sz="4" w:space="0" w:color="000000"/>
            </w:tcBorders>
          </w:tcPr>
          <w:p>
            <w:pPr>
              <w:pStyle w:val="Body"/>
              <w:ind w:start="0" w:end="0"/>
              <w:rPr>
                <w:rFonts w:ascii="Times New Roman" w:hAnsi="Times New Roman" w:cs="Times New Roman"/>
                <w:color w:val="000000"/>
                <w:sz w:val="18"/>
              </w:rPr>
            </w:pPr>
            <w:r>
              <w:rPr>
                <w:rFonts w:cs="Times New Roman" w:ascii="Times New Roman" w:hAnsi="Times New Roman"/>
                <w:color w:val="000000"/>
                <w:sz w:val="18"/>
              </w:rPr>
              <w:t>Initial funding needs covers equity needs</w:t>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r>
          </w:p>
          <w:p>
            <w:pPr>
              <w:pStyle w:val="Body"/>
              <w:ind w:start="0" w:end="0"/>
              <w:rPr>
                <w:rFonts w:ascii="Times New Roman" w:hAnsi="Times New Roman" w:cs="Times New Roman"/>
                <w:color w:val="000000"/>
                <w:sz w:val="18"/>
              </w:rPr>
            </w:pPr>
            <w:r>
              <w:rPr>
                <w:rFonts w:cs="Times New Roman" w:ascii="Times New Roman" w:hAnsi="Times New Roman"/>
                <w:color w:val="000000"/>
                <w:sz w:val="18"/>
              </w:rPr>
              <w:t>More Middle Office work</w:t>
            </w:r>
          </w:p>
        </w:tc>
      </w:tr>
    </w:tbl>
    <w:p>
      <w:pPr>
        <w:pStyle w:val="Body"/>
        <w:rPr>
          <w:rFonts w:ascii="Times New Roman" w:hAnsi="Times New Roman" w:cs="Times New Roman"/>
          <w:b/>
          <w:bCs/>
          <w:color w:val="000000"/>
          <w:sz w:val="24"/>
        </w:rPr>
      </w:pPr>
      <w:r>
        <w:rPr>
          <w:rFonts w:cs="Times New Roman" w:ascii="Times New Roman" w:hAnsi="Times New Roman"/>
          <w:b/>
          <w:bCs/>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Background</w:t>
      </w:r>
    </w:p>
    <w:p>
      <w:pPr>
        <w:pStyle w:val="Body"/>
        <w:rPr>
          <w:rFonts w:ascii="Times New Roman" w:hAnsi="Times New Roman" w:cs="Times New Roman"/>
          <w:color w:val="000000"/>
          <w:sz w:val="24"/>
        </w:rPr>
      </w:pPr>
      <w:r>
        <w:rPr>
          <w:rFonts w:cs="Times New Roman" w:ascii="Times New Roman" w:hAnsi="Times New Roman"/>
          <w:color w:val="000000"/>
          <w:sz w:val="24"/>
        </w:rPr>
        <w:t xml:space="preserve">The Gasoline and Kerosene Futures (Futures) traded on TOCOM has physical and only physical delivery if held open until it matures. If trades with the same maturity is bought and sold, the netted positions are settled in cash. 95% of the trading is estimated to be netted out before it goes to delivery. In the startup phase, considered to be the first 6 months of active trading, all trades are expected to be netted and settled in cash. </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Tax</w:t>
      </w:r>
    </w:p>
    <w:p>
      <w:pPr>
        <w:pStyle w:val="Body"/>
        <w:rPr/>
      </w:pPr>
      <w:r>
        <w:rPr>
          <w:rFonts w:cs="Times New Roman" w:ascii="Times New Roman" w:hAnsi="Times New Roman"/>
          <w:color w:val="000000"/>
          <w:sz w:val="24"/>
        </w:rPr>
        <w:t xml:space="preserve">The distinction between Physical and Financial is material from a US Tax point of view. This is to avoid double taxation, tax on profits both in the US and Japan. From a US Tax point of view it is vital to separate Financial trading from Physical trading, because of the </w:t>
      </w:r>
      <w:r>
        <w:rPr>
          <w:rFonts w:cs="Times New Roman" w:ascii="Times New Roman" w:hAnsi="Times New Roman"/>
          <w:b/>
          <w:bCs/>
          <w:color w:val="000000"/>
          <w:sz w:val="24"/>
        </w:rPr>
        <w:t>Anti-Tax Deferral Provisions (</w:t>
      </w:r>
      <w:r>
        <w:rPr>
          <w:rFonts w:cs="Times New Roman" w:ascii="Times New Roman" w:hAnsi="Times New Roman"/>
          <w:color w:val="000000"/>
          <w:sz w:val="24"/>
        </w:rPr>
        <w:t>see attached tax memo). These provisions clearly state that the activity performed on TOCOM is subject to immediate US Taxation, even though no dividends are distributed back to the US. There are two relevant exemptions that can be used to avoid this: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Qualified Sales Exception for Physical Commodities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Dealer Exception for Financial Instruments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The first exemption is subject to an 85% qualifying test, which means that if the ratio of Physical to Financial is less than 85% all of the Physical activity is subject to immediate US taxation. The second exemption clearly demands a cash settlement. Thus the easiest way to avoid immediate US Taxation is to segregate these two activities in separate legal entities. The issue arises when you have both Physical and Financial activities in one legal entity.</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US Tax Definition of Futures traded on TOCOM</w:t>
      </w:r>
    </w:p>
    <w:p>
      <w:pPr>
        <w:pStyle w:val="Body"/>
        <w:rPr>
          <w:rFonts w:ascii="Times New Roman" w:hAnsi="Times New Roman" w:cs="Times New Roman"/>
          <w:color w:val="000000"/>
          <w:sz w:val="24"/>
        </w:rPr>
      </w:pPr>
      <w:r>
        <w:rPr>
          <w:rFonts w:cs="Times New Roman" w:ascii="Times New Roman" w:hAnsi="Times New Roman"/>
          <w:color w:val="000000"/>
          <w:sz w:val="24"/>
        </w:rPr>
        <w:t>Under a pure economic definition, the Futures traded on TOCM are clearly physical. In lieu of the US tax code, the Futures traded on TOCOM are clearly physical if held open, and Financial if netted out. This creates a separation problem related to the US Tax code.</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Legal Entity Structure of Enron Japan</w:t>
      </w:r>
    </w:p>
    <w:p>
      <w:pPr>
        <w:pStyle w:val="Body"/>
        <w:rPr>
          <w:rFonts w:ascii="Times New Roman" w:hAnsi="Times New Roman" w:cs="Times New Roman"/>
          <w:color w:val="000000"/>
          <w:sz w:val="24"/>
        </w:rPr>
      </w:pPr>
      <w:r>
        <w:rPr>
          <w:rFonts w:cs="Times New Roman" w:ascii="Times New Roman" w:hAnsi="Times New Roman"/>
          <w:color w:val="000000"/>
          <w:sz w:val="24"/>
        </w:rPr>
        <w:t>To cope with segregation issue mentioned above, Enron Japan is structured with two separate legal entities. Enron Japan Corp. (EJ), which handles all financial activities as well as employment entity, and G&amp;A’s. Enron Japan Marketing Corp. (EJM) is set up to handle all Physical activities.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t>Membership options on TOCOM</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Membership is divided into two Groups: those who can trade only for their own accounts, and those who are authorized to act as Broker Members and trade both for their own accounts and their customers accounts. The schedule below provides the startup cost for the two different types of memberships in USD (JPY/USD = 123).</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r>
    </w:p>
    <w:tbl>
      <w:tblPr>
        <w:tblW w:w="7220" w:type="dxa"/>
        <w:jc w:val="start"/>
        <w:tblInd w:w="0" w:type="dxa"/>
        <w:tblLayout w:type="fixed"/>
        <w:tblCellMar>
          <w:top w:w="13" w:type="dxa"/>
          <w:start w:w="13" w:type="dxa"/>
          <w:bottom w:w="0" w:type="dxa"/>
          <w:end w:w="13" w:type="dxa"/>
        </w:tblCellMar>
      </w:tblPr>
      <w:tblGrid>
        <w:gridCol w:w="1180"/>
        <w:gridCol w:w="1180"/>
        <w:gridCol w:w="1620"/>
        <w:gridCol w:w="1620"/>
        <w:gridCol w:w="1620"/>
      </w:tblGrid>
      <w:tr>
        <w:trPr>
          <w:trHeight w:val="255" w:hRule="atLeast"/>
        </w:trPr>
        <w:tc>
          <w:tcPr>
            <w:tcW w:w="1180" w:type="dxa"/>
            <w:tcBorders>
              <w:top w:val="single" w:sz="4" w:space="0" w:color="000000"/>
              <w:start w:val="single" w:sz="4" w:space="0" w:color="000000"/>
            </w:tcBorders>
            <w:shd w:fill="FFFF00" w:val="clear"/>
            <w:vAlign w:val="bottom"/>
          </w:tcPr>
          <w:p>
            <w:pPr>
              <w:pStyle w:val="Normal"/>
              <w:rPr>
                <w:rFonts w:eastAsia="Arial Unicode MS" w:cs="Arial"/>
                <w:b/>
                <w:bCs/>
                <w:sz w:val="20"/>
              </w:rPr>
            </w:pPr>
            <w:r>
              <w:rPr>
                <w:rFonts w:cs="Arial"/>
                <w:b/>
                <w:bCs/>
                <w:sz w:val="20"/>
              </w:rPr>
              <w:t> </w:t>
            </w:r>
          </w:p>
        </w:tc>
        <w:tc>
          <w:tcPr>
            <w:tcW w:w="1180" w:type="dxa"/>
            <w:tcBorders>
              <w:top w:val="single" w:sz="4" w:space="0" w:color="000000"/>
            </w:tcBorders>
            <w:shd w:fill="FFFF00" w:val="clear"/>
            <w:vAlign w:val="bottom"/>
          </w:tcPr>
          <w:p>
            <w:pPr>
              <w:pStyle w:val="Normal"/>
              <w:rPr>
                <w:rFonts w:eastAsia="Arial Unicode MS" w:cs="Arial"/>
                <w:sz w:val="20"/>
              </w:rPr>
            </w:pPr>
            <w:r>
              <w:rPr>
                <w:rFonts w:cs="Arial"/>
                <w:sz w:val="20"/>
              </w:rPr>
              <w:t> </w:t>
            </w:r>
          </w:p>
        </w:tc>
        <w:tc>
          <w:tcPr>
            <w:tcW w:w="1620" w:type="dxa"/>
            <w:tcBorders>
              <w:top w:val="single" w:sz="4" w:space="0" w:color="000000"/>
            </w:tcBorders>
            <w:shd w:fill="FFFF00" w:val="clear"/>
            <w:vAlign w:val="bottom"/>
          </w:tcPr>
          <w:p>
            <w:pPr>
              <w:pStyle w:val="Normal"/>
              <w:rPr>
                <w:rFonts w:eastAsia="Arial Unicode MS" w:cs="Arial"/>
                <w:sz w:val="20"/>
              </w:rPr>
            </w:pPr>
            <w:r>
              <w:rPr>
                <w:rFonts w:cs="Arial"/>
                <w:sz w:val="20"/>
              </w:rPr>
              <w:t> </w:t>
            </w:r>
          </w:p>
        </w:tc>
        <w:tc>
          <w:tcPr>
            <w:tcW w:w="1620" w:type="dxa"/>
            <w:tcBorders>
              <w:top w:val="single" w:sz="4" w:space="0" w:color="000000"/>
            </w:tcBorders>
            <w:shd w:fill="FFFF00" w:val="clear"/>
            <w:vAlign w:val="bottom"/>
          </w:tcPr>
          <w:p>
            <w:pPr>
              <w:pStyle w:val="Normal"/>
              <w:jc w:val="center"/>
              <w:rPr>
                <w:rFonts w:eastAsia="Arial Unicode MS" w:cs="Arial"/>
                <w:b/>
                <w:bCs/>
                <w:sz w:val="20"/>
              </w:rPr>
            </w:pPr>
            <w:r>
              <w:rPr>
                <w:rFonts w:cs="Arial"/>
                <w:b/>
                <w:bCs/>
                <w:sz w:val="20"/>
              </w:rPr>
              <w:t> </w:t>
            </w:r>
          </w:p>
        </w:tc>
        <w:tc>
          <w:tcPr>
            <w:tcW w:w="1620" w:type="dxa"/>
            <w:tcBorders>
              <w:top w:val="single" w:sz="4" w:space="0" w:color="000000"/>
              <w:end w:val="single" w:sz="4" w:space="0" w:color="000000"/>
            </w:tcBorders>
            <w:shd w:fill="FFFF00" w:val="clear"/>
            <w:vAlign w:val="bottom"/>
          </w:tcPr>
          <w:p>
            <w:pPr>
              <w:pStyle w:val="Normal"/>
              <w:rPr>
                <w:rFonts w:eastAsia="Arial Unicode MS" w:cs="Arial"/>
                <w:sz w:val="20"/>
              </w:rPr>
            </w:pPr>
            <w:r>
              <w:rPr>
                <w:rFonts w:cs="Arial"/>
                <w:sz w:val="20"/>
              </w:rPr>
              <w:t> </w:t>
            </w:r>
          </w:p>
        </w:tc>
      </w:tr>
      <w:tr>
        <w:trPr>
          <w:trHeight w:val="255" w:hRule="atLeast"/>
        </w:trPr>
        <w:tc>
          <w:tcPr>
            <w:tcW w:w="1180" w:type="dxa"/>
            <w:tcBorders>
              <w:start w:val="single" w:sz="4" w:space="0" w:color="000000"/>
            </w:tcBorders>
            <w:shd w:fill="FFFF00" w:val="clear"/>
            <w:vAlign w:val="bottom"/>
          </w:tcPr>
          <w:p>
            <w:pPr>
              <w:pStyle w:val="Normal"/>
              <w:rPr>
                <w:rFonts w:eastAsia="Arial Unicode MS" w:cs="Arial"/>
                <w:sz w:val="20"/>
              </w:rPr>
            </w:pPr>
            <w:r>
              <w:rPr>
                <w:rFonts w:cs="Arial"/>
                <w:sz w:val="20"/>
              </w:rPr>
              <w:t> </w:t>
            </w:r>
          </w:p>
        </w:tc>
        <w:tc>
          <w:tcPr>
            <w:tcW w:w="118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jc w:val="center"/>
              <w:rPr>
                <w:rFonts w:eastAsia="Arial Unicode MS" w:cs="Arial"/>
                <w:b/>
                <w:bCs/>
                <w:sz w:val="20"/>
              </w:rPr>
            </w:pPr>
            <w:r>
              <w:rPr>
                <w:rFonts w:cs="Arial"/>
                <w:b/>
                <w:bCs/>
                <w:sz w:val="20"/>
              </w:rPr>
              <w:t>Member</w:t>
            </w:r>
          </w:p>
        </w:tc>
        <w:tc>
          <w:tcPr>
            <w:tcW w:w="1620" w:type="dxa"/>
            <w:tcBorders>
              <w:end w:val="single" w:sz="4" w:space="0" w:color="000000"/>
            </w:tcBorders>
            <w:shd w:fill="FFFF00" w:val="clear"/>
            <w:vAlign w:val="bottom"/>
          </w:tcPr>
          <w:p>
            <w:pPr>
              <w:pStyle w:val="Normal"/>
              <w:jc w:val="center"/>
              <w:rPr>
                <w:rFonts w:eastAsia="Arial Unicode MS" w:cs="Arial"/>
                <w:b/>
                <w:bCs/>
                <w:sz w:val="20"/>
              </w:rPr>
            </w:pPr>
            <w:r>
              <w:rPr>
                <w:rFonts w:cs="Arial"/>
                <w:b/>
                <w:bCs/>
                <w:sz w:val="20"/>
              </w:rPr>
              <w:t>Broker Member</w:t>
            </w:r>
          </w:p>
        </w:tc>
      </w:tr>
      <w:tr>
        <w:trPr>
          <w:trHeight w:val="255" w:hRule="atLeast"/>
        </w:trPr>
        <w:tc>
          <w:tcPr>
            <w:tcW w:w="1180" w:type="dxa"/>
            <w:tcBorders>
              <w:start w:val="single" w:sz="4" w:space="0" w:color="000000"/>
            </w:tcBorders>
            <w:shd w:fill="FFFF00" w:val="clear"/>
            <w:vAlign w:val="bottom"/>
          </w:tcPr>
          <w:p>
            <w:pPr>
              <w:pStyle w:val="Normal"/>
              <w:rPr>
                <w:rFonts w:eastAsia="Arial Unicode MS" w:cs="Arial"/>
                <w:sz w:val="20"/>
              </w:rPr>
            </w:pPr>
            <w:r>
              <w:rPr>
                <w:rFonts w:cs="Arial"/>
                <w:sz w:val="20"/>
              </w:rPr>
              <w:t> </w:t>
            </w:r>
          </w:p>
        </w:tc>
        <w:tc>
          <w:tcPr>
            <w:tcW w:w="118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end w:val="single" w:sz="4" w:space="0" w:color="000000"/>
            </w:tcBorders>
            <w:shd w:fill="FFFF00" w:val="clear"/>
            <w:vAlign w:val="bottom"/>
          </w:tcPr>
          <w:p>
            <w:pPr>
              <w:pStyle w:val="Normal"/>
              <w:rPr>
                <w:rFonts w:eastAsia="Arial Unicode MS" w:cs="Arial"/>
                <w:sz w:val="20"/>
              </w:rPr>
            </w:pPr>
            <w:r>
              <w:rPr>
                <w:rFonts w:cs="Arial"/>
                <w:sz w:val="20"/>
              </w:rPr>
              <w:t> </w:t>
            </w:r>
          </w:p>
        </w:tc>
      </w:tr>
      <w:tr>
        <w:trPr>
          <w:trHeight w:val="255" w:hRule="atLeast"/>
        </w:trPr>
        <w:tc>
          <w:tcPr>
            <w:tcW w:w="2360" w:type="dxa"/>
            <w:gridSpan w:val="2"/>
            <w:tcBorders>
              <w:start w:val="single" w:sz="4" w:space="0" w:color="000000"/>
            </w:tcBorders>
            <w:shd w:fill="FFFF00" w:val="clear"/>
            <w:vAlign w:val="bottom"/>
          </w:tcPr>
          <w:p>
            <w:pPr>
              <w:pStyle w:val="Normal"/>
              <w:rPr>
                <w:rFonts w:eastAsia="Arial Unicode MS" w:cs="Arial"/>
                <w:b/>
                <w:bCs/>
                <w:sz w:val="20"/>
              </w:rPr>
            </w:pPr>
            <w:r>
              <w:rPr>
                <w:rFonts w:cs="Arial"/>
                <w:b/>
                <w:bCs/>
                <w:sz w:val="20"/>
              </w:rPr>
              <w:t>Deposits (Refundable)</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jc w:val="end"/>
              <w:rPr>
                <w:rFonts w:eastAsia="Arial Unicode MS" w:cs="Arial"/>
                <w:sz w:val="20"/>
              </w:rPr>
            </w:pPr>
            <w:r>
              <w:rPr>
                <w:rFonts w:cs="Arial"/>
                <w:sz w:val="20"/>
              </w:rPr>
              <w:t xml:space="preserve">117,886 </w:t>
            </w:r>
          </w:p>
        </w:tc>
        <w:tc>
          <w:tcPr>
            <w:tcW w:w="1620" w:type="dxa"/>
            <w:tcBorders>
              <w:end w:val="single" w:sz="4" w:space="0" w:color="000000"/>
            </w:tcBorders>
            <w:shd w:fill="FFFF00" w:val="clear"/>
            <w:vAlign w:val="bottom"/>
          </w:tcPr>
          <w:p>
            <w:pPr>
              <w:pStyle w:val="Normal"/>
              <w:jc w:val="end"/>
              <w:rPr>
                <w:rFonts w:eastAsia="Arial Unicode MS" w:cs="Arial"/>
                <w:sz w:val="20"/>
              </w:rPr>
            </w:pPr>
            <w:r>
              <w:rPr>
                <w:rFonts w:cs="Arial"/>
                <w:sz w:val="20"/>
              </w:rPr>
              <w:t xml:space="preserve">139,837 </w:t>
            </w:r>
          </w:p>
        </w:tc>
      </w:tr>
      <w:tr>
        <w:trPr>
          <w:trHeight w:val="255" w:hRule="atLeast"/>
        </w:trPr>
        <w:tc>
          <w:tcPr>
            <w:tcW w:w="1180" w:type="dxa"/>
            <w:tcBorders>
              <w:start w:val="single" w:sz="4" w:space="0" w:color="000000"/>
            </w:tcBorders>
            <w:shd w:fill="FFFF00" w:val="clear"/>
            <w:vAlign w:val="bottom"/>
          </w:tcPr>
          <w:p>
            <w:pPr>
              <w:pStyle w:val="Normal"/>
              <w:rPr>
                <w:rFonts w:eastAsia="Arial Unicode MS" w:cs="Arial"/>
                <w:b/>
                <w:bCs/>
                <w:sz w:val="20"/>
              </w:rPr>
            </w:pPr>
            <w:r>
              <w:rPr>
                <w:rFonts w:cs="Arial"/>
                <w:b/>
                <w:bCs/>
                <w:sz w:val="20"/>
              </w:rPr>
              <w:t>Costs</w:t>
            </w:r>
          </w:p>
        </w:tc>
        <w:tc>
          <w:tcPr>
            <w:tcW w:w="118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shd w:fill="FFFF00" w:val="clear"/>
            <w:vAlign w:val="bottom"/>
          </w:tcPr>
          <w:p>
            <w:pPr>
              <w:pStyle w:val="Normal"/>
              <w:jc w:val="end"/>
              <w:rPr>
                <w:rFonts w:eastAsia="Arial Unicode MS" w:cs="Arial"/>
                <w:sz w:val="20"/>
              </w:rPr>
            </w:pPr>
            <w:r>
              <w:rPr>
                <w:rFonts w:cs="Arial"/>
                <w:sz w:val="20"/>
              </w:rPr>
              <w:t xml:space="preserve">308,171 </w:t>
            </w:r>
          </w:p>
        </w:tc>
        <w:tc>
          <w:tcPr>
            <w:tcW w:w="1620" w:type="dxa"/>
            <w:tcBorders>
              <w:end w:val="single" w:sz="4" w:space="0" w:color="000000"/>
            </w:tcBorders>
            <w:shd w:fill="FFFF00" w:val="clear"/>
            <w:vAlign w:val="bottom"/>
          </w:tcPr>
          <w:p>
            <w:pPr>
              <w:pStyle w:val="Normal"/>
              <w:jc w:val="end"/>
              <w:rPr>
                <w:rFonts w:eastAsia="Arial Unicode MS" w:cs="Arial"/>
                <w:sz w:val="20"/>
              </w:rPr>
            </w:pPr>
            <w:r>
              <w:rPr>
                <w:rFonts w:cs="Arial"/>
                <w:sz w:val="20"/>
              </w:rPr>
              <w:t xml:space="preserve">308,659 </w:t>
            </w:r>
          </w:p>
        </w:tc>
      </w:tr>
      <w:tr>
        <w:trPr>
          <w:trHeight w:val="255" w:hRule="atLeast"/>
        </w:trPr>
        <w:tc>
          <w:tcPr>
            <w:tcW w:w="2360" w:type="dxa"/>
            <w:gridSpan w:val="2"/>
            <w:tcBorders>
              <w:start w:val="single" w:sz="4" w:space="0" w:color="000000"/>
            </w:tcBorders>
            <w:shd w:fill="FFFF00" w:val="clear"/>
            <w:vAlign w:val="bottom"/>
          </w:tcPr>
          <w:p>
            <w:pPr>
              <w:pStyle w:val="Normal"/>
              <w:rPr>
                <w:rFonts w:eastAsia="Arial Unicode MS" w:cs="Arial"/>
                <w:b/>
                <w:bCs/>
                <w:sz w:val="20"/>
              </w:rPr>
            </w:pPr>
            <w:r>
              <w:rPr>
                <w:rFonts w:cs="Arial"/>
                <w:b/>
                <w:bCs/>
                <w:sz w:val="20"/>
              </w:rPr>
              <w:t>Total Funding Needs</w:t>
            </w:r>
          </w:p>
        </w:tc>
        <w:tc>
          <w:tcPr>
            <w:tcW w:w="1620" w:type="dxa"/>
            <w:tcBorders/>
            <w:shd w:fill="FFFF00" w:val="clear"/>
            <w:vAlign w:val="bottom"/>
          </w:tcPr>
          <w:p>
            <w:pPr>
              <w:pStyle w:val="Normal"/>
              <w:rPr>
                <w:rFonts w:eastAsia="Arial Unicode MS" w:cs="Arial"/>
                <w:sz w:val="20"/>
              </w:rPr>
            </w:pPr>
            <w:r>
              <w:rPr>
                <w:rFonts w:cs="Arial"/>
                <w:sz w:val="20"/>
              </w:rPr>
              <w:t> </w:t>
            </w:r>
          </w:p>
        </w:tc>
        <w:tc>
          <w:tcPr>
            <w:tcW w:w="1620" w:type="dxa"/>
            <w:tcBorders>
              <w:top w:val="single" w:sz="4" w:space="0" w:color="000000"/>
              <w:bottom w:val="single" w:sz="4" w:space="0" w:color="000000"/>
            </w:tcBorders>
            <w:shd w:fill="FFFF00" w:val="clear"/>
            <w:vAlign w:val="bottom"/>
          </w:tcPr>
          <w:p>
            <w:pPr>
              <w:pStyle w:val="Normal"/>
              <w:jc w:val="end"/>
              <w:rPr>
                <w:rFonts w:eastAsia="Arial Unicode MS" w:cs="Arial"/>
                <w:sz w:val="20"/>
              </w:rPr>
            </w:pPr>
            <w:r>
              <w:rPr>
                <w:rFonts w:cs="Arial"/>
                <w:sz w:val="20"/>
              </w:rPr>
              <w:t xml:space="preserve">426,057 </w:t>
            </w:r>
          </w:p>
        </w:tc>
        <w:tc>
          <w:tcPr>
            <w:tcW w:w="1620" w:type="dxa"/>
            <w:tcBorders>
              <w:top w:val="single" w:sz="4" w:space="0" w:color="000000"/>
              <w:bottom w:val="single" w:sz="4" w:space="0" w:color="000000"/>
              <w:end w:val="single" w:sz="4" w:space="0" w:color="000000"/>
            </w:tcBorders>
            <w:shd w:fill="FFFF00" w:val="clear"/>
            <w:vAlign w:val="bottom"/>
          </w:tcPr>
          <w:p>
            <w:pPr>
              <w:pStyle w:val="Normal"/>
              <w:jc w:val="end"/>
              <w:rPr>
                <w:rFonts w:eastAsia="Arial Unicode MS" w:cs="Arial"/>
                <w:sz w:val="20"/>
              </w:rPr>
            </w:pPr>
            <w:r>
              <w:rPr>
                <w:rFonts w:cs="Arial"/>
                <w:sz w:val="20"/>
              </w:rPr>
              <w:t xml:space="preserve">448,496 </w:t>
            </w:r>
          </w:p>
        </w:tc>
      </w:tr>
      <w:tr>
        <w:trPr>
          <w:trHeight w:val="255" w:hRule="atLeast"/>
        </w:trPr>
        <w:tc>
          <w:tcPr>
            <w:tcW w:w="1180" w:type="dxa"/>
            <w:tcBorders>
              <w:start w:val="single" w:sz="4" w:space="0" w:color="000000"/>
              <w:bottom w:val="single" w:sz="4" w:space="0" w:color="000000"/>
            </w:tcBorders>
            <w:shd w:fill="FFFF00" w:val="clear"/>
            <w:vAlign w:val="bottom"/>
          </w:tcPr>
          <w:p>
            <w:pPr>
              <w:pStyle w:val="Normal"/>
              <w:rPr>
                <w:rFonts w:eastAsia="Arial Unicode MS" w:cs="Arial"/>
                <w:sz w:val="20"/>
              </w:rPr>
            </w:pPr>
            <w:r>
              <w:rPr>
                <w:rFonts w:cs="Arial"/>
                <w:sz w:val="20"/>
              </w:rPr>
              <w:t> </w:t>
            </w:r>
          </w:p>
        </w:tc>
        <w:tc>
          <w:tcPr>
            <w:tcW w:w="1180" w:type="dxa"/>
            <w:tcBorders>
              <w:bottom w:val="single" w:sz="4" w:space="0" w:color="000000"/>
            </w:tcBorders>
            <w:shd w:fill="FFFF00" w:val="clear"/>
            <w:vAlign w:val="bottom"/>
          </w:tcPr>
          <w:p>
            <w:pPr>
              <w:pStyle w:val="Normal"/>
              <w:rPr>
                <w:rFonts w:eastAsia="Arial Unicode MS" w:cs="Arial"/>
                <w:sz w:val="20"/>
              </w:rPr>
            </w:pPr>
            <w:r>
              <w:rPr>
                <w:rFonts w:cs="Arial"/>
                <w:sz w:val="20"/>
              </w:rPr>
              <w:t> </w:t>
            </w:r>
          </w:p>
        </w:tc>
        <w:tc>
          <w:tcPr>
            <w:tcW w:w="1620" w:type="dxa"/>
            <w:tcBorders>
              <w:bottom w:val="single" w:sz="4" w:space="0" w:color="000000"/>
            </w:tcBorders>
            <w:shd w:fill="FFFF00" w:val="clear"/>
            <w:vAlign w:val="bottom"/>
          </w:tcPr>
          <w:p>
            <w:pPr>
              <w:pStyle w:val="Normal"/>
              <w:rPr>
                <w:rFonts w:eastAsia="Arial Unicode MS" w:cs="Arial"/>
                <w:sz w:val="20"/>
              </w:rPr>
            </w:pPr>
            <w:r>
              <w:rPr>
                <w:rFonts w:cs="Arial"/>
                <w:sz w:val="20"/>
              </w:rPr>
              <w:t> </w:t>
            </w:r>
          </w:p>
        </w:tc>
        <w:tc>
          <w:tcPr>
            <w:tcW w:w="1620" w:type="dxa"/>
            <w:tcBorders>
              <w:bottom w:val="single" w:sz="4" w:space="0" w:color="000000"/>
            </w:tcBorders>
            <w:shd w:fill="FFFF00" w:val="clear"/>
            <w:vAlign w:val="bottom"/>
          </w:tcPr>
          <w:p>
            <w:pPr>
              <w:pStyle w:val="Normal"/>
              <w:rPr>
                <w:rFonts w:eastAsia="Arial Unicode MS" w:cs="Arial"/>
                <w:sz w:val="20"/>
              </w:rPr>
            </w:pPr>
            <w:r>
              <w:rPr>
                <w:rFonts w:cs="Arial"/>
                <w:sz w:val="20"/>
              </w:rPr>
              <w:t> </w:t>
            </w:r>
          </w:p>
        </w:tc>
        <w:tc>
          <w:tcPr>
            <w:tcW w:w="1620" w:type="dxa"/>
            <w:tcBorders>
              <w:bottom w:val="single" w:sz="4" w:space="0" w:color="000000"/>
              <w:end w:val="single" w:sz="4" w:space="0" w:color="000000"/>
            </w:tcBorders>
            <w:shd w:fill="FFFF00" w:val="clear"/>
            <w:vAlign w:val="bottom"/>
          </w:tcPr>
          <w:p>
            <w:pPr>
              <w:pStyle w:val="Normal"/>
              <w:rPr>
                <w:rFonts w:eastAsia="Arial Unicode MS" w:cs="Arial"/>
                <w:sz w:val="20"/>
              </w:rPr>
            </w:pPr>
            <w:r>
              <w:rPr>
                <w:rFonts w:cs="Arial"/>
                <w:sz w:val="20"/>
              </w:rPr>
              <w:t>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3980" w:type="dxa"/>
            <w:gridSpan w:val="3"/>
            <w:tcBorders/>
            <w:shd w:fill="FFFFFF" w:val="clear"/>
            <w:vAlign w:val="bottom"/>
          </w:tcPr>
          <w:p>
            <w:pPr>
              <w:pStyle w:val="Normal"/>
              <w:rPr>
                <w:rFonts w:eastAsia="Arial Unicode MS" w:cs="Arial"/>
                <w:b/>
                <w:bCs/>
                <w:sz w:val="20"/>
              </w:rPr>
            </w:pPr>
            <w:r>
              <w:rPr>
                <w:rFonts w:cs="Arial"/>
                <w:b/>
                <w:bCs/>
                <w:sz w:val="20"/>
              </w:rPr>
              <w:t>Exchange related Deposits (Refundable)</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117,886 </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139,837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Share</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sz w:val="20"/>
              </w:rPr>
            </w:pPr>
            <w:r>
              <w:rPr>
                <w:rFonts w:cs="Arial"/>
                <w:sz w:val="20"/>
              </w:rPr>
              <w:t xml:space="preserve">8,130 </w:t>
            </w:r>
          </w:p>
        </w:tc>
        <w:tc>
          <w:tcPr>
            <w:tcW w:w="1620" w:type="dxa"/>
            <w:tcBorders/>
            <w:shd w:fill="FFFFFF" w:val="clear"/>
            <w:vAlign w:val="bottom"/>
          </w:tcPr>
          <w:p>
            <w:pPr>
              <w:pStyle w:val="Normal"/>
              <w:jc w:val="end"/>
              <w:rPr>
                <w:rFonts w:eastAsia="Arial Unicode MS" w:cs="Arial"/>
                <w:sz w:val="20"/>
              </w:rPr>
            </w:pPr>
            <w:r>
              <w:rPr>
                <w:rFonts w:cs="Arial"/>
                <w:sz w:val="20"/>
              </w:rPr>
              <w:t xml:space="preserve">40,650 </w:t>
            </w:r>
          </w:p>
        </w:tc>
      </w:tr>
      <w:tr>
        <w:trPr>
          <w:trHeight w:val="255" w:hRule="atLeast"/>
        </w:trPr>
        <w:tc>
          <w:tcPr>
            <w:tcW w:w="2360" w:type="dxa"/>
            <w:gridSpan w:val="2"/>
            <w:tcBorders/>
            <w:shd w:fill="FFFFFF" w:val="clear"/>
            <w:vAlign w:val="bottom"/>
          </w:tcPr>
          <w:p>
            <w:pPr>
              <w:pStyle w:val="Normal"/>
              <w:rPr>
                <w:rFonts w:eastAsia="Arial Unicode MS" w:cs="Arial"/>
                <w:sz w:val="20"/>
              </w:rPr>
            </w:pPr>
            <w:r>
              <w:rPr>
                <w:rFonts w:cs="Arial"/>
                <w:sz w:val="20"/>
              </w:rPr>
              <w:t>Initial membership deposit</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sz w:val="20"/>
              </w:rPr>
            </w:pPr>
            <w:r>
              <w:rPr>
                <w:rFonts w:cs="Arial"/>
                <w:sz w:val="20"/>
              </w:rPr>
              <w:t xml:space="preserve">40,650 </w:t>
            </w:r>
          </w:p>
        </w:tc>
        <w:tc>
          <w:tcPr>
            <w:tcW w:w="1620" w:type="dxa"/>
            <w:tcBorders/>
            <w:shd w:fill="FFFFFF" w:val="clear"/>
            <w:vAlign w:val="bottom"/>
          </w:tcPr>
          <w:p>
            <w:pPr>
              <w:pStyle w:val="Normal"/>
              <w:jc w:val="end"/>
              <w:rPr>
                <w:rFonts w:eastAsia="Arial Unicode MS" w:cs="Arial"/>
                <w:sz w:val="20"/>
              </w:rPr>
            </w:pPr>
            <w:r>
              <w:rPr>
                <w:rFonts w:cs="Arial"/>
                <w:sz w:val="20"/>
              </w:rPr>
              <w:t xml:space="preserve">0 </w:t>
            </w:r>
          </w:p>
        </w:tc>
      </w:tr>
      <w:tr>
        <w:trPr>
          <w:trHeight w:val="255" w:hRule="atLeast"/>
        </w:trPr>
        <w:tc>
          <w:tcPr>
            <w:tcW w:w="2360" w:type="dxa"/>
            <w:gridSpan w:val="2"/>
            <w:tcBorders/>
            <w:shd w:fill="FFFFFF" w:val="clear"/>
            <w:vAlign w:val="bottom"/>
          </w:tcPr>
          <w:p>
            <w:pPr>
              <w:pStyle w:val="Normal"/>
              <w:rPr>
                <w:rFonts w:eastAsia="Arial Unicode MS" w:cs="Arial"/>
                <w:sz w:val="20"/>
              </w:rPr>
            </w:pPr>
            <w:r>
              <w:rPr>
                <w:rFonts w:cs="Arial"/>
                <w:sz w:val="20"/>
              </w:rPr>
              <w:t>Membership trust money</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sz w:val="20"/>
              </w:rPr>
            </w:pPr>
            <w:r>
              <w:rPr>
                <w:rFonts w:cs="Arial"/>
                <w:sz w:val="20"/>
              </w:rPr>
              <w:t xml:space="preserve">8,130 </w:t>
            </w:r>
          </w:p>
        </w:tc>
        <w:tc>
          <w:tcPr>
            <w:tcW w:w="1620" w:type="dxa"/>
            <w:tcBorders/>
            <w:shd w:fill="FFFFFF" w:val="clear"/>
            <w:vAlign w:val="bottom"/>
          </w:tcPr>
          <w:p>
            <w:pPr>
              <w:pStyle w:val="Normal"/>
              <w:jc w:val="end"/>
              <w:rPr>
                <w:rFonts w:eastAsia="Arial Unicode MS" w:cs="Arial"/>
                <w:sz w:val="20"/>
              </w:rPr>
            </w:pPr>
            <w:r>
              <w:rPr>
                <w:rFonts w:cs="Arial"/>
                <w:sz w:val="20"/>
              </w:rPr>
              <w:t xml:space="preserve">8,130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Special deposit for default Gasoline (Initial)</w:t>
            </w:r>
          </w:p>
        </w:tc>
        <w:tc>
          <w:tcPr>
            <w:tcW w:w="1620" w:type="dxa"/>
            <w:tcBorders/>
            <w:shd w:fill="FFFFFF" w:val="clear"/>
            <w:vAlign w:val="bottom"/>
          </w:tcPr>
          <w:p>
            <w:pPr>
              <w:pStyle w:val="Normal"/>
              <w:jc w:val="end"/>
              <w:rPr>
                <w:rFonts w:eastAsia="Arial Unicode MS" w:cs="Arial"/>
                <w:sz w:val="20"/>
              </w:rPr>
            </w:pPr>
            <w:r>
              <w:rPr>
                <w:rFonts w:cs="Arial"/>
                <w:sz w:val="20"/>
              </w:rPr>
              <w:t xml:space="preserve">20,325 </w:t>
            </w:r>
          </w:p>
        </w:tc>
        <w:tc>
          <w:tcPr>
            <w:tcW w:w="1620" w:type="dxa"/>
            <w:tcBorders/>
            <w:shd w:fill="FFFFFF" w:val="clear"/>
            <w:vAlign w:val="bottom"/>
          </w:tcPr>
          <w:p>
            <w:pPr>
              <w:pStyle w:val="Normal"/>
              <w:jc w:val="end"/>
              <w:rPr>
                <w:rFonts w:eastAsia="Arial Unicode MS" w:cs="Arial"/>
                <w:sz w:val="20"/>
              </w:rPr>
            </w:pPr>
            <w:r>
              <w:rPr>
                <w:rFonts w:cs="Arial"/>
                <w:sz w:val="20"/>
              </w:rPr>
              <w:t xml:space="preserve">40,650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Special deposit for default Kerosene (Initial)</w:t>
            </w:r>
          </w:p>
        </w:tc>
        <w:tc>
          <w:tcPr>
            <w:tcW w:w="1620" w:type="dxa"/>
            <w:tcBorders/>
            <w:shd w:fill="FFFFFF" w:val="clear"/>
            <w:vAlign w:val="bottom"/>
          </w:tcPr>
          <w:p>
            <w:pPr>
              <w:pStyle w:val="Normal"/>
              <w:jc w:val="end"/>
              <w:rPr>
                <w:rFonts w:eastAsia="Arial Unicode MS" w:cs="Arial"/>
                <w:sz w:val="20"/>
              </w:rPr>
            </w:pPr>
            <w:r>
              <w:rPr>
                <w:rFonts w:cs="Arial"/>
                <w:sz w:val="20"/>
              </w:rPr>
              <w:t xml:space="preserve">40,650 </w:t>
            </w:r>
          </w:p>
        </w:tc>
        <w:tc>
          <w:tcPr>
            <w:tcW w:w="1620" w:type="dxa"/>
            <w:tcBorders/>
            <w:shd w:fill="FFFFFF" w:val="clear"/>
            <w:vAlign w:val="bottom"/>
          </w:tcPr>
          <w:p>
            <w:pPr>
              <w:pStyle w:val="Normal"/>
              <w:jc w:val="end"/>
              <w:rPr>
                <w:rFonts w:eastAsia="Arial Unicode MS" w:cs="Arial"/>
                <w:sz w:val="20"/>
              </w:rPr>
            </w:pPr>
            <w:r>
              <w:rPr>
                <w:rFonts w:cs="Arial"/>
                <w:sz w:val="20"/>
              </w:rPr>
              <w:t xml:space="preserve">40,650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Guarantee Funds for Brokerage Operations</w:t>
            </w:r>
          </w:p>
        </w:tc>
        <w:tc>
          <w:tcPr>
            <w:tcW w:w="1620" w:type="dxa"/>
            <w:tcBorders/>
            <w:shd w:fill="FFFFFF" w:val="clear"/>
            <w:vAlign w:val="bottom"/>
          </w:tcPr>
          <w:p>
            <w:pPr>
              <w:pStyle w:val="Normal"/>
              <w:jc w:val="end"/>
              <w:rPr>
                <w:rFonts w:eastAsia="Arial Unicode MS" w:cs="Arial"/>
                <w:sz w:val="20"/>
              </w:rPr>
            </w:pPr>
            <w:r>
              <w:rPr>
                <w:rFonts w:cs="Arial"/>
                <w:sz w:val="20"/>
              </w:rPr>
              <w:t xml:space="preserve">0 </w:t>
            </w:r>
          </w:p>
        </w:tc>
        <w:tc>
          <w:tcPr>
            <w:tcW w:w="1620" w:type="dxa"/>
            <w:tcBorders/>
            <w:shd w:fill="FFFFFF" w:val="clear"/>
            <w:vAlign w:val="bottom"/>
          </w:tcPr>
          <w:p>
            <w:pPr>
              <w:pStyle w:val="Normal"/>
              <w:jc w:val="end"/>
              <w:rPr>
                <w:rFonts w:eastAsia="Arial Unicode MS" w:cs="Arial"/>
                <w:sz w:val="20"/>
              </w:rPr>
            </w:pPr>
            <w:r>
              <w:rPr>
                <w:rFonts w:cs="Arial"/>
                <w:sz w:val="20"/>
              </w:rPr>
              <w:t xml:space="preserve">9,756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3980" w:type="dxa"/>
            <w:gridSpan w:val="3"/>
            <w:tcBorders/>
            <w:shd w:fill="FFFFFF" w:val="clear"/>
            <w:vAlign w:val="bottom"/>
          </w:tcPr>
          <w:p>
            <w:pPr>
              <w:pStyle w:val="Normal"/>
              <w:rPr>
                <w:rFonts w:eastAsia="Arial Unicode MS" w:cs="Arial"/>
                <w:b/>
                <w:bCs/>
                <w:sz w:val="20"/>
              </w:rPr>
            </w:pPr>
            <w:r>
              <w:rPr>
                <w:rFonts w:cs="Arial"/>
                <w:b/>
                <w:bCs/>
                <w:sz w:val="20"/>
              </w:rPr>
              <w:t>Computer related Expenses (1 Terminal)</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248,780 </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249,268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2360" w:type="dxa"/>
            <w:gridSpan w:val="2"/>
            <w:tcBorders/>
            <w:shd w:fill="FFFFFF" w:val="clear"/>
            <w:vAlign w:val="bottom"/>
          </w:tcPr>
          <w:p>
            <w:pPr>
              <w:pStyle w:val="Normal"/>
              <w:rPr>
                <w:rFonts w:eastAsia="Arial Unicode MS" w:cs="Arial"/>
                <w:sz w:val="20"/>
              </w:rPr>
            </w:pPr>
            <w:r>
              <w:rPr>
                <w:rFonts w:cs="Arial"/>
                <w:sz w:val="20"/>
              </w:rPr>
              <w:t>Trading Software License</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sz w:val="20"/>
              </w:rPr>
            </w:pPr>
            <w:r>
              <w:rPr>
                <w:rFonts w:cs="Arial"/>
                <w:sz w:val="20"/>
              </w:rPr>
              <w:t xml:space="preserve">243,902 </w:t>
            </w:r>
          </w:p>
        </w:tc>
        <w:tc>
          <w:tcPr>
            <w:tcW w:w="1620" w:type="dxa"/>
            <w:tcBorders/>
            <w:shd w:fill="FFFFFF" w:val="clear"/>
            <w:vAlign w:val="bottom"/>
          </w:tcPr>
          <w:p>
            <w:pPr>
              <w:pStyle w:val="Normal"/>
              <w:jc w:val="end"/>
              <w:rPr>
                <w:rFonts w:eastAsia="Arial Unicode MS" w:cs="Arial"/>
                <w:sz w:val="20"/>
              </w:rPr>
            </w:pPr>
            <w:r>
              <w:rPr>
                <w:rFonts w:cs="Arial"/>
                <w:sz w:val="20"/>
              </w:rPr>
              <w:t xml:space="preserve">243,902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Initial installation Terminal and Printer</w:t>
            </w:r>
          </w:p>
        </w:tc>
        <w:tc>
          <w:tcPr>
            <w:tcW w:w="1620" w:type="dxa"/>
            <w:tcBorders/>
            <w:shd w:fill="FFFFFF" w:val="clear"/>
            <w:vAlign w:val="bottom"/>
          </w:tcPr>
          <w:p>
            <w:pPr>
              <w:pStyle w:val="Normal"/>
              <w:jc w:val="end"/>
              <w:rPr>
                <w:rFonts w:eastAsia="Arial Unicode MS" w:cs="Arial"/>
                <w:sz w:val="20"/>
              </w:rPr>
            </w:pPr>
            <w:r>
              <w:rPr>
                <w:rFonts w:cs="Arial"/>
                <w:sz w:val="20"/>
              </w:rPr>
              <w:t xml:space="preserve">2,439 </w:t>
            </w:r>
          </w:p>
        </w:tc>
        <w:tc>
          <w:tcPr>
            <w:tcW w:w="1620" w:type="dxa"/>
            <w:tcBorders/>
            <w:shd w:fill="FFFFFF" w:val="clear"/>
            <w:vAlign w:val="bottom"/>
          </w:tcPr>
          <w:p>
            <w:pPr>
              <w:pStyle w:val="Normal"/>
              <w:jc w:val="end"/>
              <w:rPr>
                <w:rFonts w:eastAsia="Arial Unicode MS" w:cs="Arial"/>
                <w:sz w:val="20"/>
              </w:rPr>
            </w:pPr>
            <w:r>
              <w:rPr>
                <w:rFonts w:cs="Arial"/>
                <w:sz w:val="20"/>
              </w:rPr>
              <w:t xml:space="preserve">2,439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Half Annual Membership Fee</w:t>
            </w:r>
          </w:p>
        </w:tc>
        <w:tc>
          <w:tcPr>
            <w:tcW w:w="1620" w:type="dxa"/>
            <w:tcBorders/>
            <w:shd w:fill="FFFFFF" w:val="clear"/>
            <w:vAlign w:val="bottom"/>
          </w:tcPr>
          <w:p>
            <w:pPr>
              <w:pStyle w:val="Normal"/>
              <w:jc w:val="end"/>
              <w:rPr>
                <w:rFonts w:eastAsia="Arial Unicode MS" w:cs="Arial"/>
                <w:sz w:val="20"/>
              </w:rPr>
            </w:pPr>
            <w:r>
              <w:rPr>
                <w:rFonts w:cs="Arial"/>
                <w:sz w:val="20"/>
              </w:rPr>
              <w:t xml:space="preserve">2,439 </w:t>
            </w:r>
          </w:p>
        </w:tc>
        <w:tc>
          <w:tcPr>
            <w:tcW w:w="1620" w:type="dxa"/>
            <w:tcBorders/>
            <w:shd w:fill="FFFFFF" w:val="clear"/>
            <w:vAlign w:val="bottom"/>
          </w:tcPr>
          <w:p>
            <w:pPr>
              <w:pStyle w:val="Normal"/>
              <w:jc w:val="end"/>
              <w:rPr>
                <w:rFonts w:eastAsia="Arial Unicode MS" w:cs="Arial"/>
                <w:sz w:val="20"/>
              </w:rPr>
            </w:pPr>
            <w:r>
              <w:rPr>
                <w:rFonts w:cs="Arial"/>
                <w:sz w:val="20"/>
              </w:rPr>
              <w:t xml:space="preserve">2,927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2360" w:type="dxa"/>
            <w:gridSpan w:val="2"/>
            <w:tcBorders/>
            <w:shd w:fill="FFFFFF" w:val="clear"/>
            <w:vAlign w:val="bottom"/>
          </w:tcPr>
          <w:p>
            <w:pPr>
              <w:pStyle w:val="Normal"/>
              <w:rPr>
                <w:rFonts w:eastAsia="Arial Unicode MS" w:cs="Arial"/>
                <w:b/>
                <w:bCs/>
                <w:sz w:val="20"/>
              </w:rPr>
            </w:pPr>
            <w:r>
              <w:rPr>
                <w:rFonts w:cs="Arial"/>
                <w:b/>
                <w:bCs/>
                <w:sz w:val="20"/>
              </w:rPr>
              <w:t>Other Setup Expenses</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59,390 </w:t>
            </w:r>
          </w:p>
        </w:tc>
        <w:tc>
          <w:tcPr>
            <w:tcW w:w="1620" w:type="dxa"/>
            <w:tcBorders/>
            <w:shd w:fill="FFFFFF" w:val="clear"/>
            <w:vAlign w:val="bottom"/>
          </w:tcPr>
          <w:p>
            <w:pPr>
              <w:pStyle w:val="Normal"/>
              <w:jc w:val="end"/>
              <w:rPr>
                <w:rFonts w:eastAsia="Arial Unicode MS" w:cs="Arial"/>
                <w:b/>
                <w:bCs/>
                <w:sz w:val="20"/>
              </w:rPr>
            </w:pPr>
            <w:r>
              <w:rPr>
                <w:rFonts w:cs="Arial"/>
                <w:b/>
                <w:bCs/>
                <w:sz w:val="20"/>
              </w:rPr>
              <w:t xml:space="preserve">59,390 </w:t>
            </w:r>
          </w:p>
        </w:tc>
      </w:tr>
      <w:tr>
        <w:trPr>
          <w:trHeight w:val="255" w:hRule="atLeast"/>
        </w:trPr>
        <w:tc>
          <w:tcPr>
            <w:tcW w:w="1180" w:type="dxa"/>
            <w:tcBorders/>
            <w:shd w:fill="FFFFFF" w:val="clear"/>
            <w:vAlign w:val="bottom"/>
          </w:tcPr>
          <w:p>
            <w:pPr>
              <w:pStyle w:val="Normal"/>
              <w:rPr>
                <w:rFonts w:eastAsia="Arial Unicode MS" w:cs="Arial"/>
                <w:sz w:val="20"/>
              </w:rPr>
            </w:pPr>
            <w:r>
              <w:rPr>
                <w:rFonts w:cs="Arial"/>
                <w:sz w:val="20"/>
              </w:rPr>
              <w:t> </w:t>
            </w:r>
          </w:p>
        </w:tc>
        <w:tc>
          <w:tcPr>
            <w:tcW w:w="118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rPr>
                <w:rFonts w:eastAsia="Arial Unicode MS" w:cs="Arial"/>
                <w:sz w:val="20"/>
              </w:rPr>
            </w:pPr>
            <w:r>
              <w:rPr>
                <w:rFonts w:cs="Arial"/>
                <w:sz w:val="20"/>
              </w:rPr>
              <w:t> </w:t>
            </w:r>
          </w:p>
        </w:tc>
      </w:tr>
      <w:tr>
        <w:trPr>
          <w:trHeight w:val="255" w:hRule="atLeast"/>
        </w:trPr>
        <w:tc>
          <w:tcPr>
            <w:tcW w:w="3980" w:type="dxa"/>
            <w:gridSpan w:val="3"/>
            <w:tcBorders/>
            <w:shd w:fill="FFFFFF" w:val="clear"/>
            <w:vAlign w:val="bottom"/>
          </w:tcPr>
          <w:p>
            <w:pPr>
              <w:pStyle w:val="Normal"/>
              <w:rPr>
                <w:rFonts w:eastAsia="Arial Unicode MS" w:cs="Arial"/>
                <w:sz w:val="20"/>
              </w:rPr>
            </w:pPr>
            <w:r>
              <w:rPr>
                <w:rFonts w:cs="Arial"/>
                <w:sz w:val="20"/>
              </w:rPr>
              <w:t>Legal - Baker &amp; McKenzie</w:t>
            </w:r>
          </w:p>
        </w:tc>
        <w:tc>
          <w:tcPr>
            <w:tcW w:w="1620" w:type="dxa"/>
            <w:tcBorders/>
            <w:shd w:fill="FFFFFF" w:val="clear"/>
            <w:vAlign w:val="bottom"/>
          </w:tcPr>
          <w:p>
            <w:pPr>
              <w:pStyle w:val="Normal"/>
              <w:jc w:val="end"/>
              <w:rPr>
                <w:rFonts w:eastAsia="Arial Unicode MS" w:cs="Arial"/>
                <w:sz w:val="20"/>
              </w:rPr>
            </w:pPr>
            <w:r>
              <w:rPr>
                <w:rFonts w:cs="Arial"/>
                <w:sz w:val="20"/>
              </w:rPr>
              <w:t xml:space="preserve">24,390 </w:t>
            </w:r>
          </w:p>
        </w:tc>
        <w:tc>
          <w:tcPr>
            <w:tcW w:w="1620" w:type="dxa"/>
            <w:tcBorders/>
            <w:shd w:fill="FFFFFF" w:val="clear"/>
            <w:vAlign w:val="bottom"/>
          </w:tcPr>
          <w:p>
            <w:pPr>
              <w:pStyle w:val="Normal"/>
              <w:jc w:val="end"/>
              <w:rPr>
                <w:rFonts w:eastAsia="Arial Unicode MS" w:cs="Arial"/>
                <w:sz w:val="20"/>
              </w:rPr>
            </w:pPr>
            <w:r>
              <w:rPr>
                <w:rFonts w:cs="Arial"/>
                <w:sz w:val="20"/>
              </w:rPr>
              <w:t xml:space="preserve">24,390 </w:t>
            </w:r>
          </w:p>
        </w:tc>
      </w:tr>
      <w:tr>
        <w:trPr>
          <w:trHeight w:val="255" w:hRule="atLeast"/>
        </w:trPr>
        <w:tc>
          <w:tcPr>
            <w:tcW w:w="2360" w:type="dxa"/>
            <w:gridSpan w:val="2"/>
            <w:tcBorders/>
            <w:shd w:fill="FFFFFF" w:val="clear"/>
            <w:vAlign w:val="bottom"/>
          </w:tcPr>
          <w:p>
            <w:pPr>
              <w:pStyle w:val="Normal"/>
              <w:rPr>
                <w:rFonts w:eastAsia="Arial Unicode MS" w:cs="Arial"/>
                <w:sz w:val="20"/>
              </w:rPr>
            </w:pPr>
            <w:r>
              <w:rPr>
                <w:rFonts w:cs="Arial"/>
                <w:sz w:val="20"/>
              </w:rPr>
              <w:t>IT – Thunderball</w:t>
            </w:r>
          </w:p>
        </w:tc>
        <w:tc>
          <w:tcPr>
            <w:tcW w:w="1620" w:type="dxa"/>
            <w:tcBorders/>
            <w:shd w:fill="FFFFFF" w:val="clear"/>
            <w:vAlign w:val="bottom"/>
          </w:tcPr>
          <w:p>
            <w:pPr>
              <w:pStyle w:val="Normal"/>
              <w:rPr>
                <w:rFonts w:eastAsia="Arial Unicode MS" w:cs="Arial"/>
                <w:sz w:val="20"/>
              </w:rPr>
            </w:pPr>
            <w:r>
              <w:rPr>
                <w:rFonts w:cs="Arial"/>
                <w:sz w:val="20"/>
              </w:rPr>
              <w:t> </w:t>
            </w:r>
          </w:p>
        </w:tc>
        <w:tc>
          <w:tcPr>
            <w:tcW w:w="1620" w:type="dxa"/>
            <w:tcBorders/>
            <w:shd w:fill="FFFFFF" w:val="clear"/>
            <w:vAlign w:val="bottom"/>
          </w:tcPr>
          <w:p>
            <w:pPr>
              <w:pStyle w:val="Normal"/>
              <w:jc w:val="end"/>
              <w:rPr>
                <w:rFonts w:eastAsia="Arial Unicode MS" w:cs="Arial"/>
                <w:sz w:val="20"/>
              </w:rPr>
            </w:pPr>
            <w:r>
              <w:rPr>
                <w:rFonts w:cs="Arial"/>
                <w:sz w:val="20"/>
              </w:rPr>
              <w:t xml:space="preserve">35,000 </w:t>
            </w:r>
          </w:p>
        </w:tc>
        <w:tc>
          <w:tcPr>
            <w:tcW w:w="1620" w:type="dxa"/>
            <w:tcBorders/>
            <w:shd w:fill="FFFFFF" w:val="clear"/>
            <w:vAlign w:val="bottom"/>
          </w:tcPr>
          <w:p>
            <w:pPr>
              <w:pStyle w:val="Normal"/>
              <w:jc w:val="end"/>
              <w:rPr>
                <w:rFonts w:eastAsia="Arial Unicode MS" w:cs="Arial"/>
                <w:sz w:val="20"/>
              </w:rPr>
            </w:pPr>
            <w:r>
              <w:rPr>
                <w:rFonts w:cs="Arial"/>
                <w:sz w:val="20"/>
              </w:rPr>
              <w:t xml:space="preserve">35,000 </w:t>
            </w:r>
          </w:p>
        </w:tc>
      </w:tr>
    </w:tbl>
    <w:p>
      <w:pPr>
        <w:pStyle w:val="Body"/>
        <w:ind w:start="0" w:end="0"/>
        <w:rPr>
          <w:rFonts w:ascii="Times New Roman" w:hAnsi="Times New Roman" w:cs="Times New Roman"/>
          <w:color w:val="000000"/>
          <w:sz w:val="24"/>
        </w:rPr>
      </w:pPr>
      <w:r>
        <w:rPr>
          <w:rFonts w:cs="Times New Roman" w:ascii="Times New Roman" w:hAnsi="Times New Roman"/>
          <w:color w:val="000000"/>
          <w:sz w:val="24"/>
        </w:rPr>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t>Net Asset (Equity) requirement on TOCOM</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Net Assets of the member on TOCOM defines the number of contracts tradable. Net Assets is defined as Total Assets – Debt (Including Intercom any debt). The minimum Net Asset requirement for a Regular Member is USD 162,601 (JPY 20,000,000) and for a Broker Member is USD 650,406 (JPY 80,000,000). There are no restrictions on the equity of a member. The company is free to use the injected capital to any purpose. The current Net Asset situation in EJ is USD (15,000,000) and in EJM is USD 80,000. If the company meets the minimum Net Asset requirement as a regular member it can buy/sell 300 contracts each on Gasoline and Kerosene. If the company meets the minimum Net Asset requirement as a Broker Member it can buy/sell 2,000 contracts each on Gasoline and Kerosene.</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t>Time to establish</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 xml:space="preserve">The target is to establish the TOCOM membership as fast as possible. With this in mind one must not forget that certain aspects of the establishment process will take time. </w:t>
      </w:r>
    </w:p>
    <w:p>
      <w:pPr>
        <w:pStyle w:val="Body"/>
        <w:numPr>
          <w:ilvl w:val="0"/>
          <w:numId w:val="4"/>
        </w:numPr>
        <w:rPr>
          <w:rFonts w:ascii="Times New Roman" w:hAnsi="Times New Roman" w:cs="Times New Roman"/>
          <w:color w:val="000000"/>
          <w:sz w:val="24"/>
        </w:rPr>
      </w:pPr>
      <w:r>
        <w:rPr>
          <w:rFonts w:cs="Times New Roman" w:ascii="Times New Roman" w:hAnsi="Times New Roman"/>
          <w:color w:val="000000"/>
          <w:sz w:val="24"/>
        </w:rPr>
        <w:t xml:space="preserve">To establish a SPV (KK) in Japan takes around 4 weeks. </w:t>
      </w:r>
    </w:p>
    <w:p>
      <w:pPr>
        <w:pStyle w:val="Body"/>
        <w:numPr>
          <w:ilvl w:val="0"/>
          <w:numId w:val="4"/>
        </w:numPr>
        <w:rPr>
          <w:rFonts w:ascii="Times New Roman" w:hAnsi="Times New Roman" w:cs="Times New Roman"/>
          <w:color w:val="000000"/>
          <w:sz w:val="24"/>
        </w:rPr>
      </w:pPr>
      <w:r>
        <w:rPr>
          <w:rFonts w:cs="Times New Roman" w:ascii="Times New Roman" w:hAnsi="Times New Roman"/>
          <w:color w:val="000000"/>
          <w:sz w:val="24"/>
        </w:rPr>
        <w:t>To inject new equity into an already established company takes around two weeks.</w:t>
      </w:r>
    </w:p>
    <w:p>
      <w:pPr>
        <w:pStyle w:val="Body"/>
        <w:numPr>
          <w:ilvl w:val="0"/>
          <w:numId w:val="4"/>
        </w:numPr>
        <w:rPr>
          <w:rFonts w:ascii="Times New Roman" w:hAnsi="Times New Roman" w:cs="Times New Roman"/>
          <w:color w:val="000000"/>
          <w:sz w:val="24"/>
        </w:rPr>
      </w:pPr>
      <w:r>
        <w:rPr>
          <w:rFonts w:cs="Times New Roman" w:ascii="Times New Roman" w:hAnsi="Times New Roman"/>
          <w:color w:val="000000"/>
          <w:sz w:val="24"/>
        </w:rPr>
        <w:t>Pre application to METI takes around one week</w:t>
      </w:r>
    </w:p>
    <w:p>
      <w:pPr>
        <w:pStyle w:val="Body"/>
        <w:numPr>
          <w:ilvl w:val="0"/>
          <w:numId w:val="4"/>
        </w:numPr>
        <w:rPr>
          <w:rFonts w:ascii="Times New Roman" w:hAnsi="Times New Roman" w:cs="Times New Roman"/>
          <w:color w:val="000000"/>
          <w:sz w:val="24"/>
        </w:rPr>
      </w:pPr>
      <w:r>
        <w:rPr>
          <w:rFonts w:cs="Times New Roman" w:ascii="Times New Roman" w:hAnsi="Times New Roman"/>
          <w:color w:val="000000"/>
          <w:sz w:val="24"/>
        </w:rPr>
        <w:t>Final application to TOCOM takes around 6-8 weeks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One of the first two must be in place before 3) and 4) can start. Mid. office systems (Thunderball) estimated to be ready for testing early August.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Audit and disclosure</w:t>
      </w:r>
    </w:p>
    <w:p>
      <w:pPr>
        <w:pStyle w:val="Body"/>
        <w:rPr>
          <w:rFonts w:ascii="Times New Roman" w:hAnsi="Times New Roman" w:cs="Times New Roman"/>
          <w:color w:val="000000"/>
          <w:sz w:val="24"/>
        </w:rPr>
      </w:pPr>
      <w:r>
        <w:rPr>
          <w:rFonts w:cs="Times New Roman" w:ascii="Times New Roman" w:hAnsi="Times New Roman"/>
          <w:color w:val="000000"/>
          <w:sz w:val="24"/>
        </w:rPr>
        <w:t>According to TOCOM’s articles of association, Article 30 permits the Exchange to audit a member’s books upon demand, and the Exchange may enter the member’s premises to obtain the books.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t>Assignment of contracts</w:t>
      </w:r>
    </w:p>
    <w:p>
      <w:pPr>
        <w:pStyle w:val="Body"/>
        <w:rPr>
          <w:rFonts w:ascii="Times New Roman" w:hAnsi="Times New Roman" w:cs="Times New Roman"/>
          <w:color w:val="000000"/>
          <w:sz w:val="24"/>
        </w:rPr>
      </w:pPr>
      <w:r>
        <w:rPr>
          <w:rFonts w:cs="Times New Roman" w:ascii="Times New Roman" w:hAnsi="Times New Roman"/>
          <w:color w:val="000000"/>
          <w:sz w:val="24"/>
        </w:rPr>
        <w:t>The TOCOM membership entity cannot assign TOCOM contracts over to other non-membership entities. Thus not allowing for transfer of Physical delivery obligation if needed. Thus one can hedge the price risk with an OTC contract, but not the Physical risk.</w:t>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t>Options for establishment on TOCOM</w:t>
      </w:r>
    </w:p>
    <w:p>
      <w:pPr>
        <w:pStyle w:val="Body"/>
        <w:ind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regular TOCOM membership in a SPV</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Clean start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Isolate US Tax risk, and eliminate contamination towards other activities in already established entities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 xml:space="preserve">In case of an audit from the Exchange, this activity is isolate in one company, not allowing them insight into other Enron activities in Japan </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Takes an additional 4 weeks to establish, shelf companies do not exist in Japan, compared to 2 weeks for equity injection for already established companies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Physical activity may be subject to immediate US Taxation</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Not able to segregate Physical from Financial</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117,866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308,171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160,000 in equity injection to cover minimum net asset requirement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regular TOCOM membership in EJ</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Already established, thus 2 weeks only for equity injection instead of 4 weeks to establish a new company</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Physical activity mixed with other Financial activity from other business areas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Physical activity may be subject to immediate US Taxation</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not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Not able to segregate Physical from Financial</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In case of an audit from the Exchange, they can look into other activities of Enron in Japan</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117,866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308,171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15,000,000 in equity injection to cover minimum net asset requirement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 xml:space="preserve"> </w:t>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regular TOCOM membership in EJM</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Already established, thus 2 weeks only for equity injection instead of 4 weeks to establish a new company</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Financial activity mixed with other Physical activity, might destroy the 85% test for the whole company, which houses other activities than crude and liquids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Not able to segregate Physical from Financial</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In case of an audit from the Exchange, they can look into other activities of Enron in Japan</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117,866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308,171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80,000 in equity injection to cover minimum net asset requirement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Broker TOCOM membership</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Able to segregate Physical from Financial (Able to trade either Physical for EJM’s own account or Financial for EJ’s own account, and then trade Financial on EJ’s behalf or Physical for EJM’s behalf)</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Slightly higher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More disclosure</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More Middle Office work</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Higher Net Asset requirements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not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Hard to decide when trade is done by trader if he wants to take Physical delivery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Needs employee with broker license</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In case of an audit from the Exchange, they can look into other activities of Enron in Japan</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139,837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308,659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650,000 in equity injection to cover minimum net asset requirement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two regular TOCOM memberships, one for EJ and on for EJM</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Able to segregate Physical from Financial</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Already established, thus 2 weeks only for equity injection instead of 4 weeks to establish a new company</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Double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not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Hard to decide when trade is done by trader if he wants to take Physical delivery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Double administrative work</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In case of an audit from the Exchange, they can look into other activities of Enron in Japan</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279,674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617,318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15,080,000 in equity injection to cover minimum net asset requirement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 xml:space="preserve"> </w:t>
      </w:r>
    </w:p>
    <w:p>
      <w:pPr>
        <w:pStyle w:val="Body"/>
        <w:numPr>
          <w:ilvl w:val="0"/>
          <w:numId w:val="3"/>
        </w:numPr>
        <w:rPr>
          <w:rFonts w:ascii="Times New Roman" w:hAnsi="Times New Roman" w:cs="Times New Roman"/>
          <w:i/>
          <w:i/>
          <w:iCs/>
          <w:color w:val="000000"/>
          <w:sz w:val="24"/>
        </w:rPr>
      </w:pPr>
      <w:r>
        <w:rPr>
          <w:rFonts w:cs="Times New Roman" w:ascii="Times New Roman" w:hAnsi="Times New Roman"/>
          <w:i/>
          <w:iCs/>
          <w:color w:val="000000"/>
          <w:sz w:val="24"/>
        </w:rPr>
        <w:t>Establish two regular TOCOM memberships, two separate SPV’s</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Pro’s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Able to segregate Physical from Financial</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Startup funding needs is enough to cover initial net asset requirement</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In case of an audit from the Exchange, this activity is isolate in one company, not allowing them insight into other Enron activities in Japan</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Con’s</w:t>
        <w:tab/>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Takes an additional 4 weeks to establish, shelf companies do not exist in Japan, compared to 2 weeks for equity injection for already established companies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Double administrative work</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Costs/funding/equity</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279,674 in refundable deposits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USD 617,318 in startup costs</w:t>
      </w:r>
    </w:p>
    <w:p>
      <w:pPr>
        <w:pStyle w:val="Body"/>
        <w:numPr>
          <w:ilvl w:val="2"/>
          <w:numId w:val="3"/>
        </w:numPr>
        <w:rPr>
          <w:rFonts w:ascii="Times New Roman" w:hAnsi="Times New Roman" w:cs="Times New Roman"/>
          <w:color w:val="000000"/>
          <w:sz w:val="24"/>
        </w:rPr>
      </w:pPr>
      <w:r>
        <w:rPr>
          <w:rFonts w:cs="Times New Roman" w:ascii="Times New Roman" w:hAnsi="Times New Roman"/>
          <w:color w:val="000000"/>
          <w:sz w:val="24"/>
        </w:rPr>
        <w:t>Minimum USD 320,000 in equity injection to cover minimum net asset requirement</w:t>
      </w:r>
    </w:p>
    <w:p>
      <w:pPr>
        <w:pStyle w:val="Body"/>
        <w:ind w:start="1440" w:end="0"/>
        <w:rPr>
          <w:rFonts w:ascii="Times New Roman" w:hAnsi="Times New Roman" w:cs="Times New Roman"/>
          <w:color w:val="000000"/>
          <w:sz w:val="24"/>
        </w:rPr>
      </w:pPr>
      <w:r>
        <w:rPr>
          <w:rFonts w:cs="Times New Roman" w:ascii="Times New Roman" w:hAnsi="Times New Roman"/>
          <w:color w:val="000000"/>
          <w:sz w:val="24"/>
        </w:rPr>
      </w:r>
    </w:p>
    <w:p>
      <w:pPr>
        <w:pStyle w:val="Body"/>
        <w:ind w:start="360" w:end="0"/>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b/>
          <w:bCs/>
          <w:color w:val="000000"/>
          <w:sz w:val="24"/>
        </w:rPr>
      </w:pPr>
      <w:r>
        <w:rPr>
          <w:rFonts w:cs="Times New Roman" w:ascii="Times New Roman" w:hAnsi="Times New Roman"/>
          <w:b/>
          <w:bCs/>
          <w:color w:val="000000"/>
          <w:sz w:val="24"/>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510" w:leader="none"/>
        <w:tab w:val="center" w:pos="711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160" w:leader="none"/>
        <w:tab w:val="left" w:pos="4680" w:leader="none"/>
        <w:tab w:val="left" w:pos="747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5310" w:leader="none"/>
        <w:tab w:val="right" w:pos="8640" w:leader="none"/>
      </w:tabs>
      <w:rPr>
        <w:rFonts w:ascii="Times New Roman" w:hAnsi="Times New Roman" w:cs="Times New Roman"/>
        <w:sz w:val="20"/>
      </w:rPr>
    </w:pPr>
    <w:r>
      <w:rPr>
        <w:sz w:val="20"/>
      </w:rPr>
      <w:tab/>
    </w:r>
    <w:r>
      <w:rPr>
        <w:b/>
        <w:bCs/>
        <w:sz w:val="20"/>
      </w:rPr>
      <w:t xml:space="preserve">DRAFT of </w:t>
    </w:r>
    <w:r>
      <w:rPr>
        <w:rFonts w:cs="Times New Roman" w:ascii="Times New Roman" w:hAnsi="Times New Roman"/>
        <w:sz w:val="20"/>
      </w:rPr>
      <w:t>June 22, 2001</w:t>
    </w:r>
    <w:r>
      <w:rPr>
        <w:sz w:val="20"/>
      </w:rPr>
      <w:tab/>
    </w: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6</w:t>
    </w:r>
    <w:r>
      <w:rPr>
        <w:sz w:val="20"/>
        <w:rFonts w:cs="Times New Roman" w:ascii="Times New Roman" w:hAnsi="Times New Roman"/>
      </w:rPr>
      <w:fldChar w:fldCharType="end"/>
    </w:r>
  </w:p>
  <w:p>
    <w:pPr>
      <w:pStyle w:val="Header"/>
      <w:tabs>
        <w:tab w:val="center" w:pos="4320" w:leader="none"/>
        <w:tab w:val="left" w:pos="5310" w:leader="none"/>
        <w:tab w:val="right" w:pos="8640" w:leader="none"/>
      </w:tabs>
      <w:rPr>
        <w:rFonts w:ascii="Times New Roman" w:hAnsi="Times New Roman" w:cs="Times New Roman"/>
        <w:sz w:val="20"/>
      </w:rPr>
    </w:pPr>
    <w:r>
      <w:rPr>
        <w:rFonts w:cs="Times New Roman" w:ascii="Times New Roman" w:hAnsi="Times New Roman"/>
        <w:sz w:val="20"/>
      </w:rPr>
    </w:r>
  </w:p>
  <w:p>
    <w:pPr>
      <w:pStyle w:val="Header"/>
      <w:tabs>
        <w:tab w:val="center" w:pos="4320" w:leader="none"/>
        <w:tab w:val="left" w:pos="5310" w:leader="none"/>
        <w:tab w:val="right" w:pos="8640" w:leader="none"/>
      </w:tabs>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Memorandum-DRAFT-</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Memorandum-DRAFT-</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NormalWeb">
    <w:name w:val="Normal (Web)"/>
    <w:basedOn w:val="Normal"/>
    <w:qFormat/>
    <w:pPr>
      <w:tabs>
        <w:tab w:val="clear" w:pos="540"/>
      </w:tabs>
      <w:overflowPunct w:val="true"/>
      <w:autoSpaceDE w:val="true"/>
      <w:spacing w:before="100" w:after="100"/>
      <w:textAlignment w:val="auto"/>
    </w:pPr>
    <w:rPr>
      <w:rFonts w:ascii="Verdana" w:hAnsi="Verdana" w:eastAsia="Arial Unicode MS" w:cs="Arial Unicode MS"/>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2001-06-25T02:27:00Z</dcterms:created>
  <dc:creator>smusch</dc:creator>
  <dc:description/>
  <dc:language>en-CA</dc:language>
  <cp:lastModifiedBy>jbekeng</cp:lastModifiedBy>
  <cp:lastPrinted>2001-06-26T15:41:00Z</cp:lastPrinted>
  <dcterms:modified xsi:type="dcterms:W3CDTF">2001-06-26T07:11:00Z</dcterms:modified>
  <cp:revision>42</cp:revision>
  <dc:subject/>
  <dc:title>Better, Faster, Simpler Memo </dc:title>
</cp:coreProperties>
</file>