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sz w:val="22"/>
          <w:u w:val="single"/>
        </w:rPr>
      </w:pPr>
      <w:r>
        <w:rPr>
          <w:b/>
          <w:smallCaps/>
          <w:sz w:val="22"/>
          <w:u w:val="single"/>
        </w:rPr>
        <w:t>Article 13 Report to Council:</w:t>
      </w:r>
    </w:p>
    <w:p>
      <w:pPr>
        <w:pStyle w:val="Normal"/>
        <w:jc w:val="center"/>
        <w:rPr>
          <w:b/>
          <w:smallCaps/>
          <w:sz w:val="22"/>
          <w:u w:val="single"/>
        </w:rPr>
      </w:pPr>
      <w:r>
        <w:rPr>
          <w:b/>
          <w:smallCaps/>
          <w:sz w:val="22"/>
          <w:u w:val="single"/>
        </w:rPr>
        <w:t>Electricity and the Environment</w:t>
      </w:r>
    </w:p>
    <w:p>
      <w:pPr>
        <w:pStyle w:val="Normal"/>
        <w:jc w:val="center"/>
        <w:rPr>
          <w:b/>
          <w:smallCaps/>
          <w:sz w:val="22"/>
          <w:u w:val="single"/>
        </w:rPr>
      </w:pPr>
      <w:r>
        <w:rPr>
          <w:b/>
          <w:smallCaps/>
          <w:sz w:val="22"/>
          <w:u w:val="single"/>
        </w:rPr>
      </w:r>
    </w:p>
    <w:p>
      <w:pPr>
        <w:pStyle w:val="Normal"/>
        <w:jc w:val="center"/>
        <w:rPr>
          <w:smallCaps/>
          <w:sz w:val="22"/>
        </w:rPr>
      </w:pPr>
      <w:r>
        <w:rPr>
          <w:smallCaps/>
          <w:sz w:val="22"/>
        </w:rPr>
        <w:t>Commission for Environment Cooperation</w:t>
      </w:r>
    </w:p>
    <w:p>
      <w:pPr>
        <w:pStyle w:val="Normal"/>
        <w:jc w:val="center"/>
        <w:rPr>
          <w:smallCaps/>
          <w:sz w:val="22"/>
        </w:rPr>
      </w:pPr>
      <w:r>
        <w:rPr>
          <w:smallCaps/>
          <w:sz w:val="22"/>
        </w:rPr>
        <w:t>Montreal, Canada</w:t>
      </w:r>
    </w:p>
    <w:p>
      <w:pPr>
        <w:pStyle w:val="Normal"/>
        <w:jc w:val="center"/>
        <w:rPr>
          <w:smallCaps/>
          <w:sz w:val="22"/>
        </w:rPr>
      </w:pPr>
      <w:r>
        <w:rPr>
          <w:smallCaps/>
          <w:sz w:val="22"/>
        </w:rPr>
      </w:r>
    </w:p>
    <w:p>
      <w:pPr>
        <w:pStyle w:val="Heading1"/>
        <w:ind w:hanging="0" w:start="0"/>
        <w:rPr/>
      </w:pPr>
      <w:r>
        <w:rPr/>
        <w:t>Draft</w:t>
      </w:r>
    </w:p>
    <w:p>
      <w:pPr>
        <w:pStyle w:val="Heading1"/>
        <w:ind w:hanging="0" w:start="0"/>
        <w:rPr/>
      </w:pPr>
      <w:r>
        <w:rPr/>
        <w:t>Table of contents</w:t>
      </w:r>
    </w:p>
    <w:p>
      <w:pPr>
        <w:pStyle w:val="Normal"/>
        <w:jc w:val="center"/>
        <w:rPr>
          <w:smallCaps/>
          <w:sz w:val="22"/>
        </w:rPr>
      </w:pPr>
      <w:r>
        <w:rPr>
          <w:smallCaps/>
          <w:sz w:val="22"/>
        </w:rPr>
      </w:r>
    </w:p>
    <w:p>
      <w:pPr>
        <w:pStyle w:val="Normal"/>
        <w:rPr>
          <w:smallCaps/>
          <w:sz w:val="22"/>
        </w:rPr>
      </w:pPr>
      <w:r>
        <w:rPr>
          <w:smallCaps/>
          <w:sz w:val="22"/>
        </w:rPr>
      </w:r>
    </w:p>
    <w:p>
      <w:pPr>
        <w:pStyle w:val="Heading2"/>
        <w:ind w:hanging="0" w:end="0"/>
        <w:rPr/>
      </w:pPr>
      <w:r>
        <w:rPr>
          <w:b/>
        </w:rPr>
        <w:t>Executive Summary</w:t>
      </w:r>
      <w:r>
        <w:rPr/>
        <w:t>:</w:t>
      </w:r>
    </w:p>
    <w:p>
      <w:pPr>
        <w:pStyle w:val="Normal"/>
        <w:numPr>
          <w:ilvl w:val="0"/>
          <w:numId w:val="9"/>
        </w:numPr>
        <w:rPr>
          <w:smallCaps/>
        </w:rPr>
      </w:pPr>
      <w:r>
        <w:rPr>
          <w:smallCaps/>
        </w:rPr>
        <w:t>Summary of Key Findings and Policy Options</w:t>
      </w:r>
    </w:p>
    <w:p>
      <w:pPr>
        <w:pStyle w:val="Normal"/>
        <w:numPr>
          <w:ilvl w:val="0"/>
          <w:numId w:val="2"/>
        </w:numPr>
        <w:rPr>
          <w:smallCaps/>
          <w:sz w:val="22"/>
        </w:rPr>
      </w:pPr>
      <w:r>
        <w:rPr>
          <w:smallCaps/>
          <w:sz w:val="22"/>
        </w:rPr>
        <w:t xml:space="preserve">Glossary of Terms </w:t>
      </w:r>
    </w:p>
    <w:p>
      <w:pPr>
        <w:pStyle w:val="Normal"/>
        <w:ind w:start="720" w:end="0"/>
        <w:rPr>
          <w:smallCaps/>
          <w:sz w:val="22"/>
        </w:rPr>
      </w:pPr>
      <w:r>
        <w:rPr>
          <w:smallCaps/>
          <w:sz w:val="22"/>
        </w:rPr>
      </w:r>
    </w:p>
    <w:p>
      <w:pPr>
        <w:pStyle w:val="Normal"/>
        <w:rPr/>
      </w:pPr>
      <w:r>
        <w:rPr>
          <w:b/>
          <w:smallCaps/>
          <w:sz w:val="22"/>
          <w:u w:val="single"/>
        </w:rPr>
        <w:t>Section One</w:t>
      </w:r>
      <w:r>
        <w:rPr>
          <w:b/>
          <w:smallCaps/>
          <w:sz w:val="22"/>
        </w:rPr>
        <w:t>:</w:t>
      </w:r>
    </w:p>
    <w:p>
      <w:pPr>
        <w:pStyle w:val="Normal"/>
        <w:numPr>
          <w:ilvl w:val="0"/>
          <w:numId w:val="5"/>
        </w:numPr>
        <w:rPr>
          <w:smallCaps/>
          <w:sz w:val="22"/>
        </w:rPr>
      </w:pPr>
      <w:r>
        <w:rPr>
          <w:smallCaps/>
          <w:sz w:val="22"/>
        </w:rPr>
        <w:t>the North American Electricity Market</w:t>
      </w:r>
    </w:p>
    <w:p>
      <w:pPr>
        <w:pStyle w:val="Normal"/>
        <w:numPr>
          <w:ilvl w:val="0"/>
          <w:numId w:val="6"/>
        </w:numPr>
        <w:tabs>
          <w:tab w:val="clear" w:pos="720"/>
          <w:tab w:val="left" w:pos="1800" w:leader="none"/>
        </w:tabs>
        <w:ind w:hanging="360" w:start="1800" w:end="0"/>
        <w:rPr>
          <w:smallCaps/>
          <w:sz w:val="22"/>
        </w:rPr>
      </w:pPr>
      <w:r>
        <w:rPr>
          <w:sz w:val="22"/>
        </w:rPr>
        <w:t>Historical Overview of the Electric Power Industry in Canada, Mexico and the United States</w:t>
      </w:r>
    </w:p>
    <w:p>
      <w:pPr>
        <w:pStyle w:val="Normal"/>
        <w:numPr>
          <w:ilvl w:val="0"/>
          <w:numId w:val="3"/>
        </w:numPr>
        <w:tabs>
          <w:tab w:val="clear" w:pos="720"/>
          <w:tab w:val="left" w:pos="2160" w:leader="none"/>
        </w:tabs>
        <w:ind w:hanging="360" w:start="2160" w:end="0"/>
        <w:rPr>
          <w:smallCaps/>
          <w:sz w:val="22"/>
        </w:rPr>
      </w:pPr>
      <w:r>
        <w:rPr>
          <w:sz w:val="22"/>
        </w:rPr>
        <w:t>Electric Power Generation</w:t>
      </w:r>
    </w:p>
    <w:p>
      <w:pPr>
        <w:pStyle w:val="Normal"/>
        <w:numPr>
          <w:ilvl w:val="0"/>
          <w:numId w:val="3"/>
        </w:numPr>
        <w:tabs>
          <w:tab w:val="clear" w:pos="720"/>
          <w:tab w:val="left" w:pos="2160" w:leader="none"/>
        </w:tabs>
        <w:ind w:hanging="360" w:start="2160" w:end="0"/>
        <w:rPr>
          <w:smallCaps/>
          <w:sz w:val="22"/>
        </w:rPr>
      </w:pPr>
      <w:r>
        <w:rPr>
          <w:sz w:val="22"/>
        </w:rPr>
        <w:t xml:space="preserve">Electric Power Transmission and Infrastructure </w:t>
      </w:r>
    </w:p>
    <w:p>
      <w:pPr>
        <w:pStyle w:val="Normal"/>
        <w:numPr>
          <w:ilvl w:val="0"/>
          <w:numId w:val="3"/>
        </w:numPr>
        <w:tabs>
          <w:tab w:val="clear" w:pos="720"/>
          <w:tab w:val="left" w:pos="1140" w:leader="none"/>
          <w:tab w:val="left" w:pos="2160" w:leader="none"/>
        </w:tabs>
        <w:ind w:hanging="360" w:start="2160" w:end="0"/>
        <w:rPr>
          <w:sz w:val="22"/>
        </w:rPr>
      </w:pPr>
      <w:r>
        <w:rPr>
          <w:sz w:val="22"/>
        </w:rPr>
        <w:t>Electric Power Distribution</w:t>
      </w:r>
    </w:p>
    <w:p>
      <w:pPr>
        <w:pStyle w:val="Normal"/>
        <w:numPr>
          <w:ilvl w:val="0"/>
          <w:numId w:val="3"/>
        </w:numPr>
        <w:tabs>
          <w:tab w:val="clear" w:pos="720"/>
          <w:tab w:val="left" w:pos="1140" w:leader="none"/>
          <w:tab w:val="left" w:pos="2160" w:leader="none"/>
        </w:tabs>
        <w:ind w:hanging="360" w:start="2160" w:end="0"/>
        <w:rPr>
          <w:sz w:val="22"/>
        </w:rPr>
      </w:pPr>
      <w:r>
        <w:rPr>
          <w:sz w:val="22"/>
        </w:rPr>
        <w:t>Demand-Side Issues</w:t>
      </w:r>
    </w:p>
    <w:p>
      <w:pPr>
        <w:pStyle w:val="Normal"/>
        <w:numPr>
          <w:ilvl w:val="0"/>
          <w:numId w:val="3"/>
        </w:numPr>
        <w:tabs>
          <w:tab w:val="clear" w:pos="720"/>
          <w:tab w:val="left" w:pos="1140" w:leader="none"/>
          <w:tab w:val="left" w:pos="2160" w:leader="none"/>
        </w:tabs>
        <w:ind w:hanging="360" w:start="2160" w:end="0"/>
        <w:rPr>
          <w:sz w:val="22"/>
        </w:rPr>
      </w:pPr>
      <w:r>
        <w:rPr>
          <w:sz w:val="22"/>
        </w:rPr>
        <w:t>The Traditional Roles of Utilities, Non-Utilities and Regulators in the Electric Power Industry</w:t>
      </w:r>
    </w:p>
    <w:p>
      <w:pPr>
        <w:pStyle w:val="Normal"/>
        <w:tabs>
          <w:tab w:val="clear" w:pos="720"/>
          <w:tab w:val="left" w:pos="2160" w:leader="none"/>
        </w:tabs>
        <w:ind w:start="1800" w:end="0"/>
        <w:rPr>
          <w:sz w:val="22"/>
        </w:rPr>
      </w:pPr>
      <w:r>
        <w:rPr>
          <w:sz w:val="22"/>
        </w:rPr>
      </w:r>
    </w:p>
    <w:p>
      <w:pPr>
        <w:pStyle w:val="Normal"/>
        <w:rPr/>
      </w:pPr>
      <w:r>
        <w:rPr>
          <w:b/>
          <w:smallCaps/>
          <w:sz w:val="22"/>
          <w:u w:val="single"/>
        </w:rPr>
        <w:t>Section TWO</w:t>
      </w:r>
      <w:r>
        <w:rPr>
          <w:smallCaps/>
          <w:sz w:val="22"/>
        </w:rPr>
        <w:t>:</w:t>
      </w:r>
    </w:p>
    <w:p>
      <w:pPr>
        <w:pStyle w:val="Normal"/>
        <w:numPr>
          <w:ilvl w:val="0"/>
          <w:numId w:val="7"/>
        </w:numPr>
        <w:rPr>
          <w:sz w:val="22"/>
        </w:rPr>
      </w:pPr>
      <w:r>
        <w:rPr>
          <w:smallCaps/>
          <w:sz w:val="22"/>
        </w:rPr>
        <w:t>Overview of the Environmental Effects of the Electric Power Industry</w:t>
      </w:r>
    </w:p>
    <w:p>
      <w:pPr>
        <w:pStyle w:val="Normal"/>
        <w:numPr>
          <w:ilvl w:val="0"/>
          <w:numId w:val="10"/>
        </w:numPr>
        <w:tabs>
          <w:tab w:val="clear" w:pos="720"/>
          <w:tab w:val="left" w:pos="1440" w:leader="none"/>
        </w:tabs>
        <w:ind w:hanging="360" w:start="1440" w:end="0"/>
        <w:rPr>
          <w:sz w:val="22"/>
        </w:rPr>
      </w:pPr>
      <w:r>
        <w:rPr>
          <w:sz w:val="22"/>
        </w:rPr>
        <w:t>A Summary of the Environmental “Profile” of the Current Electric Power Industry</w:t>
      </w:r>
    </w:p>
    <w:p>
      <w:pPr>
        <w:pStyle w:val="Normal"/>
        <w:numPr>
          <w:ilvl w:val="0"/>
          <w:numId w:val="10"/>
        </w:numPr>
        <w:tabs>
          <w:tab w:val="clear" w:pos="720"/>
          <w:tab w:val="left" w:pos="1800" w:leader="none"/>
        </w:tabs>
        <w:ind w:hanging="360" w:start="1800" w:end="0"/>
        <w:rPr>
          <w:sz w:val="22"/>
        </w:rPr>
      </w:pPr>
      <w:r>
        <w:rPr>
          <w:sz w:val="22"/>
        </w:rPr>
        <w:t xml:space="preserve"> </w:t>
      </w:r>
      <w:r>
        <w:rPr>
          <w:sz w:val="22"/>
        </w:rPr>
        <w:t xml:space="preserve">Summary of Key Environmental Quality Indicators Linked to Electric Power Generation, Transmission and End-Use, including: </w:t>
      </w:r>
    </w:p>
    <w:p>
      <w:pPr>
        <w:pStyle w:val="Normal"/>
        <w:numPr>
          <w:ilvl w:val="0"/>
          <w:numId w:val="10"/>
        </w:numPr>
        <w:tabs>
          <w:tab w:val="clear" w:pos="720"/>
          <w:tab w:val="left" w:pos="2160" w:leader="none"/>
        </w:tabs>
        <w:ind w:hanging="360" w:start="2160" w:end="0"/>
        <w:rPr>
          <w:sz w:val="22"/>
        </w:rPr>
      </w:pPr>
      <w:r>
        <w:rPr>
          <w:sz w:val="22"/>
        </w:rPr>
        <w:t>Criteria Air Pollutants and Greenhouse Gas</w:t>
      </w:r>
    </w:p>
    <w:p>
      <w:pPr>
        <w:pStyle w:val="Normal"/>
        <w:numPr>
          <w:ilvl w:val="0"/>
          <w:numId w:val="10"/>
        </w:numPr>
        <w:tabs>
          <w:tab w:val="clear" w:pos="720"/>
          <w:tab w:val="left" w:pos="2160" w:leader="none"/>
        </w:tabs>
        <w:ind w:hanging="360" w:start="2160" w:end="0"/>
        <w:rPr>
          <w:sz w:val="22"/>
        </w:rPr>
      </w:pPr>
      <w:r>
        <w:rPr>
          <w:sz w:val="22"/>
        </w:rPr>
        <w:t>Chemical Releases from Pollutant Release and Transfer Registers</w:t>
      </w:r>
    </w:p>
    <w:p>
      <w:pPr>
        <w:pStyle w:val="Normal"/>
        <w:numPr>
          <w:ilvl w:val="0"/>
          <w:numId w:val="10"/>
        </w:numPr>
        <w:tabs>
          <w:tab w:val="clear" w:pos="720"/>
          <w:tab w:val="left" w:pos="2160" w:leader="none"/>
        </w:tabs>
        <w:ind w:hanging="360" w:start="2160" w:end="0"/>
        <w:rPr>
          <w:sz w:val="22"/>
        </w:rPr>
      </w:pPr>
      <w:r>
        <w:rPr>
          <w:sz w:val="22"/>
        </w:rPr>
        <w:t>Electric Power Generation and Water-Related Issues</w:t>
      </w:r>
    </w:p>
    <w:p>
      <w:pPr>
        <w:pStyle w:val="Normal"/>
        <w:numPr>
          <w:ilvl w:val="0"/>
          <w:numId w:val="10"/>
        </w:numPr>
        <w:tabs>
          <w:tab w:val="clear" w:pos="720"/>
          <w:tab w:val="left" w:pos="2160" w:leader="none"/>
        </w:tabs>
        <w:ind w:hanging="360" w:start="2160" w:end="0"/>
        <w:rPr>
          <w:sz w:val="22"/>
        </w:rPr>
      </w:pPr>
      <w:r>
        <w:rPr>
          <w:sz w:val="22"/>
        </w:rPr>
        <w:t xml:space="preserve">Electric Power Generation and Transmission and Land-Use Change and Related Issues  </w:t>
      </w:r>
    </w:p>
    <w:p>
      <w:pPr>
        <w:pStyle w:val="Normal"/>
        <w:numPr>
          <w:ilvl w:val="0"/>
          <w:numId w:val="10"/>
        </w:numPr>
        <w:tabs>
          <w:tab w:val="clear" w:pos="720"/>
          <w:tab w:val="left" w:pos="2160" w:leader="none"/>
        </w:tabs>
        <w:ind w:hanging="360" w:start="2160" w:end="0"/>
        <w:rPr>
          <w:sz w:val="22"/>
        </w:rPr>
      </w:pPr>
      <w:r>
        <w:rPr>
          <w:sz w:val="22"/>
        </w:rPr>
        <w:t>Mercury and other Chemicals</w:t>
      </w:r>
    </w:p>
    <w:p>
      <w:pPr>
        <w:pStyle w:val="Normal"/>
        <w:numPr>
          <w:ilvl w:val="0"/>
          <w:numId w:val="10"/>
        </w:numPr>
        <w:tabs>
          <w:tab w:val="clear" w:pos="720"/>
          <w:tab w:val="left" w:pos="2160" w:leader="none"/>
        </w:tabs>
        <w:ind w:hanging="360" w:start="2160" w:end="0"/>
        <w:rPr>
          <w:sz w:val="22"/>
        </w:rPr>
      </w:pPr>
      <w:r>
        <w:rPr>
          <w:sz w:val="22"/>
        </w:rPr>
        <w:t>Waste Issues, including Spent Fuels</w:t>
      </w:r>
    </w:p>
    <w:p>
      <w:pPr>
        <w:pStyle w:val="Normal"/>
        <w:tabs>
          <w:tab w:val="clear" w:pos="720"/>
          <w:tab w:val="left" w:pos="2160" w:leader="none"/>
        </w:tabs>
        <w:rPr>
          <w:sz w:val="22"/>
        </w:rPr>
      </w:pPr>
      <w:r>
        <w:rPr>
          <w:sz w:val="22"/>
        </w:rPr>
      </w:r>
    </w:p>
    <w:p>
      <w:pPr>
        <w:pStyle w:val="Normal"/>
        <w:numPr>
          <w:ilvl w:val="0"/>
          <w:numId w:val="4"/>
        </w:numPr>
        <w:rPr>
          <w:sz w:val="22"/>
        </w:rPr>
      </w:pPr>
      <w:r>
        <w:rPr>
          <w:i/>
          <w:sz w:val="22"/>
        </w:rPr>
        <w:t>Supporting Tool</w:t>
      </w:r>
      <w:r>
        <w:rPr>
          <w:sz w:val="22"/>
        </w:rPr>
        <w:t>: GIS Map of North America, containing information on all electric power generating sources (with information on scale and fuel type), and transmission/infrastructure information</w:t>
      </w:r>
    </w:p>
    <w:p>
      <w:pPr>
        <w:pStyle w:val="Normal"/>
        <w:tabs>
          <w:tab w:val="clear" w:pos="720"/>
          <w:tab w:val="left" w:pos="2160" w:leader="none"/>
        </w:tabs>
        <w:rPr>
          <w:sz w:val="22"/>
        </w:rPr>
      </w:pPr>
      <w:r>
        <w:rPr>
          <w:sz w:val="22"/>
        </w:rPr>
      </w:r>
    </w:p>
    <w:p>
      <w:pPr>
        <w:pStyle w:val="Normal"/>
        <w:rPr/>
      </w:pPr>
      <w:r>
        <w:rPr>
          <w:b/>
          <w:smallCaps/>
          <w:sz w:val="22"/>
          <w:u w:val="single"/>
        </w:rPr>
        <w:t>Section Three</w:t>
      </w:r>
      <w:r>
        <w:rPr>
          <w:smallCaps/>
          <w:sz w:val="22"/>
        </w:rPr>
        <w:t xml:space="preserve">:  </w:t>
      </w:r>
    </w:p>
    <w:p>
      <w:pPr>
        <w:pStyle w:val="Normal"/>
        <w:numPr>
          <w:ilvl w:val="0"/>
          <w:numId w:val="19"/>
        </w:numPr>
        <w:tabs>
          <w:tab w:val="clear" w:pos="720"/>
          <w:tab w:val="left" w:pos="1080" w:leader="none"/>
        </w:tabs>
        <w:ind w:hanging="360" w:start="1080" w:end="0"/>
        <w:rPr>
          <w:sz w:val="22"/>
        </w:rPr>
      </w:pPr>
      <w:r>
        <w:rPr>
          <w:smallCaps/>
          <w:sz w:val="22"/>
        </w:rPr>
        <w:t>Overview of the changing Electric Power Industry in Canada, Mexico and the United States</w:t>
      </w:r>
      <w:r>
        <w:rPr>
          <w:sz w:val="22"/>
        </w:rPr>
        <w:t>:</w:t>
      </w:r>
    </w:p>
    <w:p>
      <w:pPr>
        <w:pStyle w:val="Normal"/>
        <w:numPr>
          <w:ilvl w:val="0"/>
          <w:numId w:val="12"/>
        </w:numPr>
        <w:tabs>
          <w:tab w:val="clear" w:pos="720"/>
          <w:tab w:val="left" w:pos="1800" w:leader="none"/>
        </w:tabs>
        <w:ind w:hanging="360" w:start="1800" w:end="0"/>
        <w:rPr>
          <w:sz w:val="22"/>
        </w:rPr>
      </w:pPr>
      <w:r>
        <w:rPr>
          <w:sz w:val="22"/>
        </w:rPr>
        <w:t>Factors Affecting Market Competition in the Electric Power Industry</w:t>
      </w:r>
    </w:p>
    <w:p>
      <w:pPr>
        <w:pStyle w:val="Normal"/>
        <w:numPr>
          <w:ilvl w:val="0"/>
          <w:numId w:val="12"/>
        </w:numPr>
        <w:tabs>
          <w:tab w:val="clear" w:pos="720"/>
          <w:tab w:val="left" w:pos="2160" w:leader="none"/>
        </w:tabs>
        <w:ind w:hanging="360" w:start="2160" w:end="0"/>
        <w:rPr>
          <w:sz w:val="22"/>
        </w:rPr>
      </w:pPr>
      <w:r>
        <w:rPr>
          <w:sz w:val="22"/>
        </w:rPr>
        <w:t>Regulatory Changes</w:t>
      </w:r>
    </w:p>
    <w:p>
      <w:pPr>
        <w:pStyle w:val="Normal"/>
        <w:numPr>
          <w:ilvl w:val="0"/>
          <w:numId w:val="12"/>
        </w:numPr>
        <w:tabs>
          <w:tab w:val="clear" w:pos="720"/>
          <w:tab w:val="left" w:pos="2160" w:leader="none"/>
        </w:tabs>
        <w:ind w:hanging="360" w:start="2160" w:end="0"/>
        <w:rPr>
          <w:sz w:val="22"/>
        </w:rPr>
      </w:pPr>
      <w:r>
        <w:rPr>
          <w:sz w:val="22"/>
        </w:rPr>
        <w:t>Price Changes and Volatility</w:t>
      </w:r>
    </w:p>
    <w:p>
      <w:pPr>
        <w:pStyle w:val="Normal"/>
        <w:numPr>
          <w:ilvl w:val="0"/>
          <w:numId w:val="12"/>
        </w:numPr>
        <w:tabs>
          <w:tab w:val="clear" w:pos="720"/>
          <w:tab w:val="left" w:pos="2160" w:leader="none"/>
        </w:tabs>
        <w:ind w:hanging="360" w:start="2160" w:end="0"/>
        <w:rPr>
          <w:sz w:val="22"/>
        </w:rPr>
      </w:pPr>
      <w:r>
        <w:rPr>
          <w:sz w:val="22"/>
        </w:rPr>
        <w:t>Infrastructure Changes</w:t>
      </w:r>
    </w:p>
    <w:p>
      <w:pPr>
        <w:pStyle w:val="Normal"/>
        <w:numPr>
          <w:ilvl w:val="0"/>
          <w:numId w:val="12"/>
        </w:numPr>
        <w:tabs>
          <w:tab w:val="clear" w:pos="720"/>
          <w:tab w:val="left" w:pos="2160" w:leader="none"/>
        </w:tabs>
        <w:ind w:hanging="360" w:start="2160" w:end="0"/>
        <w:rPr>
          <w:sz w:val="22"/>
        </w:rPr>
      </w:pPr>
      <w:r>
        <w:rPr>
          <w:sz w:val="22"/>
        </w:rPr>
        <w:t>Technological Changes</w:t>
      </w:r>
    </w:p>
    <w:p>
      <w:pPr>
        <w:pStyle w:val="Normal"/>
        <w:numPr>
          <w:ilvl w:val="0"/>
          <w:numId w:val="12"/>
        </w:numPr>
        <w:tabs>
          <w:tab w:val="clear" w:pos="720"/>
          <w:tab w:val="left" w:pos="2160" w:leader="none"/>
        </w:tabs>
        <w:ind w:hanging="360" w:start="2160" w:end="0"/>
        <w:rPr>
          <w:sz w:val="22"/>
        </w:rPr>
      </w:pPr>
      <w:r>
        <w:rPr>
          <w:sz w:val="22"/>
        </w:rPr>
        <w:t>International Trade and Foreign Market Opportunities</w:t>
      </w:r>
    </w:p>
    <w:p>
      <w:pPr>
        <w:pStyle w:val="Normal"/>
        <w:numPr>
          <w:ilvl w:val="0"/>
          <w:numId w:val="12"/>
        </w:numPr>
        <w:tabs>
          <w:tab w:val="clear" w:pos="720"/>
          <w:tab w:val="left" w:pos="2160" w:leader="none"/>
        </w:tabs>
        <w:ind w:hanging="360" w:start="2160" w:end="0"/>
        <w:rPr>
          <w:sz w:val="22"/>
        </w:rPr>
      </w:pPr>
      <w:r>
        <w:rPr>
          <w:sz w:val="22"/>
        </w:rPr>
        <w:t>Scenarios regarding distributive generation</w:t>
      </w:r>
    </w:p>
    <w:p>
      <w:pPr>
        <w:pStyle w:val="Normal"/>
        <w:numPr>
          <w:ilvl w:val="0"/>
          <w:numId w:val="11"/>
        </w:numPr>
        <w:rPr>
          <w:sz w:val="22"/>
        </w:rPr>
      </w:pPr>
      <w:r>
        <w:rPr>
          <w:i/>
          <w:sz w:val="22"/>
        </w:rPr>
        <w:t>Supporting Tool</w:t>
      </w:r>
      <w:r>
        <w:rPr>
          <w:sz w:val="22"/>
        </w:rPr>
        <w:t xml:space="preserve">: Searchable, on-line data-base containing up-to-date information on the status of the electric power sector in North American federal and sub-federal (state and provincial) jurisdiction, including information – where applicable – on the status of restructuring initiatives. </w:t>
      </w:r>
    </w:p>
    <w:p>
      <w:pPr>
        <w:pStyle w:val="Normal"/>
        <w:rPr>
          <w:sz w:val="22"/>
        </w:rPr>
      </w:pPr>
      <w:r>
        <w:rPr>
          <w:sz w:val="22"/>
        </w:rPr>
      </w:r>
    </w:p>
    <w:p>
      <w:pPr>
        <w:pStyle w:val="Heading3"/>
        <w:numPr>
          <w:ilvl w:val="0"/>
          <w:numId w:val="0"/>
        </w:numPr>
        <w:ind w:hanging="0" w:start="0"/>
        <w:rPr>
          <w:b/>
        </w:rPr>
      </w:pPr>
      <w:r>
        <w:rPr>
          <w:b/>
        </w:rPr>
        <w:t>Section Four</w:t>
      </w:r>
    </w:p>
    <w:p>
      <w:pPr>
        <w:pStyle w:val="Normal"/>
        <w:numPr>
          <w:ilvl w:val="0"/>
          <w:numId w:val="17"/>
        </w:numPr>
        <w:rPr>
          <w:smallCaps/>
          <w:sz w:val="22"/>
        </w:rPr>
      </w:pPr>
      <w:r>
        <w:rPr>
          <w:smallCaps/>
          <w:sz w:val="22"/>
        </w:rPr>
        <w:t>Environmental Challenges and Opportunities Related to Future (Short-to-Near Term) North American Electric Power Industry Integration and Trade in Electric Power, and Electricity-Related Goods and Services</w:t>
      </w:r>
    </w:p>
    <w:p>
      <w:pPr>
        <w:pStyle w:val="Normal"/>
        <w:numPr>
          <w:ilvl w:val="0"/>
          <w:numId w:val="17"/>
        </w:numPr>
        <w:tabs>
          <w:tab w:val="left" w:pos="720" w:leader="none"/>
        </w:tabs>
        <w:ind w:hanging="360" w:start="720" w:end="0"/>
        <w:rPr>
          <w:sz w:val="22"/>
        </w:rPr>
      </w:pPr>
      <w:r>
        <w:rPr>
          <w:sz w:val="22"/>
        </w:rPr>
        <w:t>Environmental Effects of “New” Electric Power Generating Capacities: announced and/or permitted/licensed</w:t>
      </w:r>
    </w:p>
    <w:p>
      <w:pPr>
        <w:pStyle w:val="Normal"/>
        <w:numPr>
          <w:ilvl w:val="0"/>
          <w:numId w:val="17"/>
        </w:numPr>
        <w:tabs>
          <w:tab w:val="clear" w:pos="720"/>
          <w:tab w:val="left" w:pos="1080" w:leader="none"/>
        </w:tabs>
        <w:ind w:hanging="360" w:start="1080" w:end="0"/>
        <w:rPr>
          <w:sz w:val="22"/>
        </w:rPr>
      </w:pPr>
      <w:r>
        <w:rPr>
          <w:sz w:val="22"/>
        </w:rPr>
        <w:t>Breakdown of electric power generating facilities in North America that are under construction, permitted or licensed, or announced.  Information on projected size of generation, type of fuel, and where possible information on generating technologies (information on approximately 1700 new electric power generating facilities)</w:t>
      </w:r>
    </w:p>
    <w:p>
      <w:pPr>
        <w:pStyle w:val="Normal"/>
        <w:numPr>
          <w:ilvl w:val="0"/>
          <w:numId w:val="17"/>
        </w:numPr>
        <w:tabs>
          <w:tab w:val="clear" w:pos="720"/>
          <w:tab w:val="left" w:pos="1080" w:leader="none"/>
        </w:tabs>
        <w:ind w:hanging="360" w:start="1080" w:end="0"/>
        <w:rPr>
          <w:sz w:val="22"/>
        </w:rPr>
      </w:pPr>
      <w:r>
        <w:rPr>
          <w:sz w:val="22"/>
        </w:rPr>
        <w:t xml:space="preserve">Cross facilities in the pipeline with projected electric power generation requirements </w:t>
      </w:r>
    </w:p>
    <w:p>
      <w:pPr>
        <w:pStyle w:val="Normal"/>
        <w:numPr>
          <w:ilvl w:val="0"/>
          <w:numId w:val="17"/>
        </w:numPr>
        <w:tabs>
          <w:tab w:val="clear" w:pos="720"/>
          <w:tab w:val="left" w:pos="1080" w:leader="none"/>
        </w:tabs>
        <w:ind w:hanging="360" w:start="1080" w:end="0"/>
        <w:rPr>
          <w:sz w:val="22"/>
        </w:rPr>
      </w:pPr>
      <w:r>
        <w:rPr>
          <w:sz w:val="22"/>
        </w:rPr>
        <w:t xml:space="preserve">Analysis (by order of magnitude) of some probable environmental impacts of new electric power generation and transmission, focusing on key environmental criteria noted in Section Two Above.  </w:t>
      </w:r>
    </w:p>
    <w:p>
      <w:pPr>
        <w:pStyle w:val="Normal"/>
        <w:rPr>
          <w:sz w:val="22"/>
        </w:rPr>
      </w:pPr>
      <w:r>
        <w:rPr>
          <w:sz w:val="22"/>
        </w:rPr>
      </w:r>
    </w:p>
    <w:p>
      <w:pPr>
        <w:pStyle w:val="Normal"/>
        <w:numPr>
          <w:ilvl w:val="0"/>
          <w:numId w:val="18"/>
        </w:numPr>
        <w:rPr>
          <w:sz w:val="22"/>
        </w:rPr>
      </w:pPr>
      <w:r>
        <w:rPr>
          <w:i/>
          <w:sz w:val="22"/>
        </w:rPr>
        <w:t>Supporting Analysis and Tools</w:t>
      </w:r>
      <w:r>
        <w:rPr>
          <w:sz w:val="22"/>
        </w:rPr>
        <w:t>: Overview of recent methods and models used to examine the environmental effects of the changing electric power industry, including:</w:t>
      </w:r>
    </w:p>
    <w:p>
      <w:pPr>
        <w:pStyle w:val="Normal"/>
        <w:numPr>
          <w:ilvl w:val="0"/>
          <w:numId w:val="18"/>
        </w:numPr>
        <w:tabs>
          <w:tab w:val="clear" w:pos="720"/>
          <w:tab w:val="left" w:pos="1080" w:leader="none"/>
        </w:tabs>
        <w:ind w:hanging="360" w:start="1080" w:end="0"/>
        <w:rPr>
          <w:sz w:val="22"/>
        </w:rPr>
      </w:pPr>
      <w:r>
        <w:rPr>
          <w:sz w:val="22"/>
        </w:rPr>
        <w:t>Overview of Recent Approaches and Findings of Integrated Assessment Models, including models and analysis by US Department of Energy (eg the POEMS model), Natural Resources Canada and others</w:t>
      </w:r>
    </w:p>
    <w:p>
      <w:pPr>
        <w:pStyle w:val="Normal"/>
        <w:numPr>
          <w:ilvl w:val="0"/>
          <w:numId w:val="18"/>
        </w:numPr>
        <w:tabs>
          <w:tab w:val="clear" w:pos="720"/>
          <w:tab w:val="left" w:pos="1080" w:leader="none"/>
        </w:tabs>
        <w:ind w:hanging="360" w:start="1080" w:end="0"/>
        <w:rPr>
          <w:sz w:val="22"/>
        </w:rPr>
      </w:pPr>
      <w:r>
        <w:rPr>
          <w:sz w:val="22"/>
        </w:rPr>
        <w:t>Applicability of Analytic Framework of Assessing the Environmental Effects of North American Trade, Commission for Environmental Cooperation (1999, 2000)</w:t>
      </w:r>
    </w:p>
    <w:p>
      <w:pPr>
        <w:pStyle w:val="Normal"/>
        <w:numPr>
          <w:ilvl w:val="0"/>
          <w:numId w:val="18"/>
        </w:numPr>
        <w:tabs>
          <w:tab w:val="clear" w:pos="720"/>
          <w:tab w:val="left" w:pos="1080" w:leader="none"/>
        </w:tabs>
        <w:ind w:hanging="360" w:start="1080" w:end="0"/>
        <w:rPr>
          <w:sz w:val="22"/>
        </w:rPr>
      </w:pPr>
      <w:r>
        <w:rPr>
          <w:sz w:val="22"/>
        </w:rPr>
        <w:t>Results of “Back-casting” analysis, examining methods, assumptions and findings of past environmental reviews and assessments of the changing electricity sector (with emphasis on sectoral restructuring)</w:t>
      </w:r>
    </w:p>
    <w:p>
      <w:pPr>
        <w:pStyle w:val="Normal"/>
        <w:numPr>
          <w:ilvl w:val="0"/>
          <w:numId w:val="18"/>
        </w:numPr>
        <w:tabs>
          <w:tab w:val="clear" w:pos="720"/>
          <w:tab w:val="left" w:pos="1080" w:leader="none"/>
        </w:tabs>
        <w:ind w:hanging="360" w:start="1080" w:end="0"/>
        <w:rPr>
          <w:sz w:val="22"/>
        </w:rPr>
      </w:pPr>
      <w:r>
        <w:rPr>
          <w:sz w:val="22"/>
        </w:rPr>
        <w:t>GIS Map Overlay of Projected Generation and Transmission, with Overlay of Major Sources and Pathways of Pollutants</w:t>
      </w:r>
    </w:p>
    <w:p>
      <w:pPr>
        <w:pStyle w:val="Normal"/>
        <w:rPr>
          <w:sz w:val="22"/>
        </w:rPr>
      </w:pPr>
      <w:r>
        <w:rPr>
          <w:sz w:val="22"/>
        </w:rPr>
      </w:r>
    </w:p>
    <w:p>
      <w:pPr>
        <w:pStyle w:val="Heading4"/>
        <w:ind w:hanging="0" w:start="0"/>
        <w:rPr>
          <w:b/>
        </w:rPr>
      </w:pPr>
      <w:r>
        <w:rPr>
          <w:b/>
        </w:rPr>
        <w:t>Section Five</w:t>
      </w:r>
    </w:p>
    <w:p>
      <w:pPr>
        <w:pStyle w:val="Normal"/>
        <w:numPr>
          <w:ilvl w:val="0"/>
          <w:numId w:val="15"/>
        </w:numPr>
        <w:rPr>
          <w:smallCaps/>
          <w:sz w:val="22"/>
        </w:rPr>
      </w:pPr>
      <w:r>
        <w:rPr>
          <w:smallCaps/>
          <w:sz w:val="22"/>
        </w:rPr>
        <w:t>Cross-Border Trade in Electricity-Related Goods and Services</w:t>
      </w:r>
    </w:p>
    <w:p>
      <w:pPr>
        <w:pStyle w:val="Normal"/>
        <w:numPr>
          <w:ilvl w:val="0"/>
          <w:numId w:val="14"/>
        </w:numPr>
        <w:tabs>
          <w:tab w:val="clear" w:pos="720"/>
          <w:tab w:val="left" w:pos="1080" w:leader="none"/>
        </w:tabs>
        <w:ind w:hanging="360" w:start="1080" w:end="0"/>
        <w:rPr>
          <w:sz w:val="22"/>
        </w:rPr>
      </w:pPr>
      <w:r>
        <w:rPr>
          <w:sz w:val="22"/>
        </w:rPr>
        <w:t>Overview of changes in trade volume and composition of electricity-related goods and services since NAFTA. Examine extent to which NAFTA has created new opportunities in trade and trade-related policy cooperation (eg North American Energy Working Group)</w:t>
      </w:r>
    </w:p>
    <w:p>
      <w:pPr>
        <w:pStyle w:val="Normal"/>
        <w:numPr>
          <w:ilvl w:val="0"/>
          <w:numId w:val="14"/>
        </w:numPr>
        <w:tabs>
          <w:tab w:val="clear" w:pos="720"/>
          <w:tab w:val="left" w:pos="1080" w:leader="none"/>
        </w:tabs>
        <w:ind w:hanging="360" w:start="1080" w:end="0"/>
        <w:rPr>
          <w:sz w:val="22"/>
        </w:rPr>
      </w:pPr>
      <w:r>
        <w:rPr>
          <w:sz w:val="22"/>
        </w:rPr>
        <w:t>Overview of provisions in the North American Free Trade Agreement (NAFTA) relating to trade in electricity goods and services, and trade-related investment provisions</w:t>
      </w:r>
    </w:p>
    <w:p>
      <w:pPr>
        <w:pStyle w:val="Normal"/>
        <w:numPr>
          <w:ilvl w:val="0"/>
          <w:numId w:val="14"/>
        </w:numPr>
        <w:tabs>
          <w:tab w:val="clear" w:pos="720"/>
          <w:tab w:val="left" w:pos="1080" w:leader="none"/>
        </w:tabs>
        <w:ind w:hanging="360" w:start="1080" w:end="0"/>
        <w:rPr>
          <w:sz w:val="22"/>
        </w:rPr>
      </w:pPr>
      <w:r>
        <w:rPr>
          <w:sz w:val="22"/>
        </w:rPr>
        <w:t xml:space="preserve">Possible trade-environment and market access issues arising from NAFTA.  Examples include the implications of non-uniform environmental regulations, standards and norms – including differing definitions for renewable portfolio standards (RPS); prohibition of certain electric power sources in select jurisdictions (eg nuclear); market access and pricing effects of price caps and/or environmental adders in specific regions, and other examples. </w:t>
      </w:r>
    </w:p>
    <w:p>
      <w:pPr>
        <w:pStyle w:val="Normal"/>
        <w:ind w:start="720" w:end="0"/>
        <w:rPr>
          <w:sz w:val="22"/>
        </w:rPr>
      </w:pPr>
      <w:r>
        <w:rPr>
          <w:sz w:val="22"/>
        </w:rPr>
      </w:r>
    </w:p>
    <w:p>
      <w:pPr>
        <w:pStyle w:val="Normal"/>
        <w:rPr>
          <w:b/>
          <w:smallCaps/>
          <w:sz w:val="22"/>
          <w:u w:val="single"/>
        </w:rPr>
      </w:pPr>
      <w:r>
        <w:rPr>
          <w:b/>
          <w:smallCaps/>
          <w:sz w:val="22"/>
          <w:u w:val="single"/>
        </w:rPr>
        <w:t xml:space="preserve">Section Six:  </w:t>
      </w:r>
    </w:p>
    <w:p>
      <w:pPr>
        <w:pStyle w:val="Normal"/>
        <w:numPr>
          <w:ilvl w:val="0"/>
          <w:numId w:val="8"/>
        </w:numPr>
        <w:rPr>
          <w:smallCaps/>
          <w:sz w:val="22"/>
          <w:u w:val="single"/>
        </w:rPr>
      </w:pPr>
      <w:r>
        <w:rPr>
          <w:smallCaps/>
          <w:sz w:val="22"/>
        </w:rPr>
        <w:t>Policy Challenges to Environmental Regulators, the private Sector and the Public in Canada, Mexico and the United States To Address the Evolving North American Electricity Market</w:t>
      </w:r>
    </w:p>
    <w:p>
      <w:pPr>
        <w:pStyle w:val="Normal"/>
        <w:numPr>
          <w:ilvl w:val="0"/>
          <w:numId w:val="8"/>
        </w:numPr>
        <w:tabs>
          <w:tab w:val="clear" w:pos="720"/>
          <w:tab w:val="left" w:pos="1080" w:leader="none"/>
        </w:tabs>
        <w:ind w:hanging="360" w:start="1080" w:end="0"/>
        <w:rPr>
          <w:smallCaps/>
          <w:sz w:val="22"/>
          <w:u w:val="single"/>
        </w:rPr>
      </w:pPr>
      <w:r>
        <w:rPr>
          <w:sz w:val="22"/>
        </w:rPr>
        <w:t>Quantitative Emission Thresholds (Emission Caps)</w:t>
      </w:r>
    </w:p>
    <w:p>
      <w:pPr>
        <w:pStyle w:val="Normal"/>
        <w:numPr>
          <w:ilvl w:val="0"/>
          <w:numId w:val="8"/>
        </w:numPr>
        <w:tabs>
          <w:tab w:val="clear" w:pos="720"/>
          <w:tab w:val="left" w:pos="1080" w:leader="none"/>
        </w:tabs>
        <w:ind w:hanging="360" w:start="1080" w:end="0"/>
        <w:rPr>
          <w:smallCaps/>
          <w:sz w:val="22"/>
          <w:u w:val="single"/>
        </w:rPr>
      </w:pPr>
      <w:r>
        <w:rPr>
          <w:sz w:val="22"/>
        </w:rPr>
        <w:t xml:space="preserve">Opportunities for Emission Trading and Other Trilateral Cooperation in the Field of Air Pollution Control </w:t>
      </w:r>
    </w:p>
    <w:p>
      <w:pPr>
        <w:pStyle w:val="Normal"/>
        <w:numPr>
          <w:ilvl w:val="0"/>
          <w:numId w:val="8"/>
        </w:numPr>
        <w:tabs>
          <w:tab w:val="clear" w:pos="720"/>
          <w:tab w:val="left" w:pos="1080" w:leader="none"/>
        </w:tabs>
        <w:ind w:hanging="360" w:start="1080" w:end="0"/>
        <w:rPr>
          <w:smallCaps/>
          <w:sz w:val="22"/>
          <w:u w:val="single"/>
        </w:rPr>
      </w:pPr>
      <w:r>
        <w:rPr>
          <w:sz w:val="22"/>
        </w:rPr>
        <w:t xml:space="preserve">Trilateral Cooperation in Identifying and Lowering Barriers to Energy Efficiency and Renewable Electricity </w:t>
      </w:r>
    </w:p>
    <w:p>
      <w:pPr>
        <w:pStyle w:val="Normal"/>
        <w:numPr>
          <w:ilvl w:val="0"/>
          <w:numId w:val="8"/>
        </w:numPr>
        <w:tabs>
          <w:tab w:val="clear" w:pos="720"/>
          <w:tab w:val="left" w:pos="1080" w:leader="none"/>
        </w:tabs>
        <w:ind w:hanging="360" w:start="1080" w:end="0"/>
        <w:rPr>
          <w:smallCaps/>
          <w:sz w:val="22"/>
          <w:u w:val="single"/>
        </w:rPr>
      </w:pPr>
      <w:r>
        <w:rPr>
          <w:sz w:val="22"/>
        </w:rPr>
        <w:t xml:space="preserve">Cooperation in Environmental Assessments of Cross-Border Electric Power Generation and Transmission </w:t>
      </w:r>
    </w:p>
    <w:p>
      <w:pPr>
        <w:pStyle w:val="Normal"/>
        <w:numPr>
          <w:ilvl w:val="0"/>
          <w:numId w:val="8"/>
        </w:numPr>
        <w:tabs>
          <w:tab w:val="clear" w:pos="720"/>
          <w:tab w:val="left" w:pos="1080" w:leader="none"/>
        </w:tabs>
        <w:ind w:hanging="360" w:start="1080" w:end="0"/>
        <w:rPr>
          <w:smallCaps/>
          <w:sz w:val="22"/>
          <w:u w:val="single"/>
        </w:rPr>
      </w:pPr>
      <w:r>
        <w:rPr>
          <w:sz w:val="22"/>
        </w:rPr>
        <w:t>Cooperation in Lowering Toxic Releases from Electric Power Generation</w:t>
      </w:r>
    </w:p>
    <w:p>
      <w:pPr>
        <w:pStyle w:val="Normal"/>
        <w:numPr>
          <w:ilvl w:val="0"/>
          <w:numId w:val="8"/>
        </w:numPr>
        <w:tabs>
          <w:tab w:val="clear" w:pos="720"/>
          <w:tab w:val="left" w:pos="1080" w:leader="none"/>
        </w:tabs>
        <w:ind w:hanging="360" w:start="1080" w:end="0"/>
        <w:rPr>
          <w:smallCaps/>
          <w:sz w:val="22"/>
          <w:u w:val="single"/>
        </w:rPr>
      </w:pPr>
      <w:r>
        <w:rPr>
          <w:sz w:val="22"/>
        </w:rPr>
        <w:t>Other Areas of Policy Cooperation</w:t>
      </w:r>
    </w:p>
    <w:p>
      <w:pPr>
        <w:pStyle w:val="Normal"/>
        <w:rPr>
          <w:smallCaps/>
          <w:sz w:val="22"/>
          <w:u w:val="single"/>
        </w:rPr>
      </w:pPr>
      <w:r>
        <w:rPr>
          <w:smallCaps/>
          <w:sz w:val="22"/>
          <w:u w:val="single"/>
        </w:rPr>
      </w:r>
    </w:p>
    <w:p>
      <w:pPr>
        <w:pStyle w:val="Normal"/>
        <w:rPr/>
      </w:pPr>
      <w:r>
        <w:rPr>
          <w:i/>
          <w:sz w:val="22"/>
        </w:rPr>
        <w:t>Supporting Analysis and Tools</w:t>
      </w:r>
      <w:r>
        <w:rPr>
          <w:sz w:val="22"/>
        </w:rPr>
        <w:t>: Results of CEC-CONAE market survey of 100 of the largest Mexican commercial electricity consumers, measuring their interest in and willingness-to-pay for “green” electricity.  Initial policy options identified from CEC-sponsored trilateral working group on renewable electricity.  Searchable on-line data-base summarizing demand-side electricity efficiency and energy performance standards in North America.  Overview analysis of comparative environmental assessments of new electric power generating facilities, with emphasis on public access to EIA-related information.</w:t>
      </w:r>
    </w:p>
    <w:p>
      <w:pPr>
        <w:pStyle w:val="Normal"/>
        <w:rPr>
          <w:sz w:val="22"/>
        </w:rPr>
      </w:pPr>
      <w:r>
        <w:rPr>
          <w:sz w:val="22"/>
        </w:rPr>
      </w:r>
    </w:p>
    <w:p>
      <w:pPr>
        <w:pStyle w:val="Heading4"/>
        <w:ind w:hanging="0" w:start="0"/>
        <w:rPr>
          <w:b/>
        </w:rPr>
      </w:pPr>
      <w:r>
        <w:rPr>
          <w:b/>
        </w:rPr>
        <w:t>Section Seven: Special Focus</w:t>
      </w:r>
    </w:p>
    <w:p>
      <w:pPr>
        <w:pStyle w:val="Normal"/>
        <w:rPr>
          <w:b/>
          <w:sz w:val="22"/>
        </w:rPr>
      </w:pPr>
      <w:r>
        <w:rPr>
          <w:b/>
          <w:sz w:val="22"/>
        </w:rPr>
      </w:r>
    </w:p>
    <w:p>
      <w:pPr>
        <w:pStyle w:val="Normal"/>
        <w:numPr>
          <w:ilvl w:val="0"/>
          <w:numId w:val="16"/>
        </w:numPr>
        <w:rPr>
          <w:smallCaps/>
          <w:sz w:val="22"/>
        </w:rPr>
      </w:pPr>
      <w:r>
        <w:rPr>
          <w:smallCaps/>
          <w:sz w:val="22"/>
        </w:rPr>
        <w:t>Environmental Challenges of Increased Cross-Border Trade in Electricity at the Regional Level, with Emphasis on United States-Mexico Border region</w:t>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rPr>
          <w:smallCaps/>
          <w:sz w:val="22"/>
        </w:rPr>
      </w:pPr>
      <w:r>
        <w:rPr>
          <w:smallCaps/>
          <w:sz w:val="22"/>
        </w:rPr>
      </w:r>
    </w:p>
    <w:p>
      <w:pPr>
        <w:pStyle w:val="Normal"/>
        <w:jc w:val="center"/>
        <w:rPr>
          <w:b/>
          <w:smallCaps/>
          <w:sz w:val="22"/>
          <w:u w:val="single"/>
        </w:rPr>
      </w:pPr>
      <w:r>
        <w:rPr>
          <w:b/>
          <w:smallCaps/>
          <w:sz w:val="22"/>
          <w:u w:val="single"/>
        </w:rPr>
        <w:t>Timetable:</w:t>
      </w:r>
    </w:p>
    <w:p>
      <w:pPr>
        <w:pStyle w:val="Normal"/>
        <w:jc w:val="center"/>
        <w:rPr>
          <w:smallCaps/>
          <w:sz w:val="22"/>
        </w:rPr>
      </w:pPr>
      <w:r>
        <w:rPr>
          <w:b/>
          <w:smallCaps/>
          <w:sz w:val="22"/>
          <w:u w:val="single"/>
        </w:rPr>
        <w:t>CEC Article 13 Electricity and Environment Report</w:t>
      </w:r>
    </w:p>
    <w:p>
      <w:pPr>
        <w:pStyle w:val="Normal"/>
        <w:jc w:val="center"/>
        <w:rPr>
          <w:smallCaps/>
          <w:sz w:val="22"/>
        </w:rPr>
      </w:pPr>
      <w:r>
        <w:rPr>
          <w:smallCaps/>
          <w:sz w:val="22"/>
        </w:rPr>
        <w:t>(External)</w:t>
      </w:r>
    </w:p>
    <w:p>
      <w:pPr>
        <w:pStyle w:val="Normal"/>
        <w:rPr>
          <w:smallCaps/>
          <w:sz w:val="22"/>
        </w:rPr>
      </w:pPr>
      <w:r>
        <w:rPr>
          <w:smallCaps/>
          <w:sz w:val="22"/>
        </w:rPr>
      </w:r>
    </w:p>
    <w:p>
      <w:pPr>
        <w:pStyle w:val="Normal"/>
        <w:rPr>
          <w:smallCaps/>
          <w:sz w:val="22"/>
        </w:rPr>
      </w:pPr>
      <w:r>
        <w:rPr>
          <w:smallCaps/>
          <w:sz w:val="22"/>
        </w:rPr>
      </w:r>
    </w:p>
    <w:p>
      <w:pPr>
        <w:pStyle w:val="Normal"/>
        <w:ind w:hanging="2880" w:start="2880" w:end="0"/>
        <w:rPr/>
      </w:pPr>
      <w:r>
        <w:rPr>
          <w:b/>
          <w:smallCaps/>
          <w:sz w:val="22"/>
        </w:rPr>
        <w:t>22/10/01</w:t>
      </w:r>
      <w:r>
        <w:rPr>
          <w:smallCaps/>
          <w:sz w:val="22"/>
        </w:rPr>
        <w:t xml:space="preserve">: </w:t>
        <w:tab/>
      </w:r>
      <w:r>
        <w:rPr>
          <w:sz w:val="22"/>
        </w:rPr>
        <w:t>Release of First Draft of CEC Secretariat Report to Advisory Board, Joint Public Advisory Committee and the Public</w:t>
      </w:r>
    </w:p>
    <w:p>
      <w:pPr>
        <w:pStyle w:val="Normal"/>
        <w:ind w:hanging="2880" w:start="2880" w:end="0"/>
        <w:rPr>
          <w:b/>
          <w:smallCaps/>
          <w:sz w:val="22"/>
        </w:rPr>
      </w:pPr>
      <w:r>
        <w:rPr>
          <w:b/>
          <w:smallCaps/>
          <w:sz w:val="22"/>
        </w:rPr>
      </w:r>
    </w:p>
    <w:p>
      <w:pPr>
        <w:pStyle w:val="Normal"/>
        <w:ind w:hanging="2880" w:start="2880" w:end="0"/>
        <w:rPr>
          <w:b/>
          <w:sz w:val="22"/>
        </w:rPr>
      </w:pPr>
      <w:r>
        <w:rPr>
          <w:b/>
          <w:sz w:val="22"/>
        </w:rPr>
        <w:t>23/10/01-</w:t>
      </w:r>
    </w:p>
    <w:p>
      <w:pPr>
        <w:pStyle w:val="Normal"/>
        <w:ind w:hanging="2880" w:start="2880" w:end="0"/>
        <w:rPr/>
      </w:pPr>
      <w:r>
        <w:rPr>
          <w:b/>
          <w:sz w:val="22"/>
        </w:rPr>
        <w:t>27/11/01</w:t>
      </w:r>
      <w:r>
        <w:rPr>
          <w:sz w:val="22"/>
        </w:rPr>
        <w:tab/>
        <w:t>Receipt and Posting on CEC home page of Comments by Public on Draft Secretariat Report and Issues and Related Concerns</w:t>
      </w:r>
    </w:p>
    <w:p>
      <w:pPr>
        <w:pStyle w:val="Normal"/>
        <w:ind w:hanging="2880" w:start="2880" w:end="0"/>
        <w:rPr>
          <w:sz w:val="22"/>
        </w:rPr>
      </w:pPr>
      <w:r>
        <w:rPr>
          <w:sz w:val="22"/>
        </w:rPr>
        <w:t xml:space="preserve"> </w:t>
      </w:r>
    </w:p>
    <w:p>
      <w:pPr>
        <w:pStyle w:val="Normal"/>
        <w:rPr/>
      </w:pPr>
      <w:r>
        <w:rPr>
          <w:b/>
          <w:sz w:val="22"/>
        </w:rPr>
        <w:t>15/11/01</w:t>
      </w:r>
      <w:r>
        <w:rPr>
          <w:sz w:val="22"/>
        </w:rPr>
        <w:tab/>
        <w:tab/>
        <w:tab/>
        <w:t>Conference Call of Advisory Board (Tentative)</w:t>
      </w:r>
    </w:p>
    <w:p>
      <w:pPr>
        <w:pStyle w:val="Normal"/>
        <w:rPr>
          <w:sz w:val="22"/>
        </w:rPr>
      </w:pPr>
      <w:r>
        <w:rPr>
          <w:sz w:val="22"/>
        </w:rPr>
      </w:r>
    </w:p>
    <w:p>
      <w:pPr>
        <w:pStyle w:val="Normal"/>
        <w:ind w:hanging="2880" w:start="2880" w:end="0"/>
        <w:rPr/>
      </w:pPr>
      <w:r>
        <w:rPr>
          <w:b/>
          <w:sz w:val="22"/>
        </w:rPr>
        <w:t>29-30/11/01</w:t>
      </w:r>
      <w:r>
        <w:rPr>
          <w:sz w:val="22"/>
        </w:rPr>
        <w:tab/>
        <w:t>North American Symposium on Electricity and the Environment (San Diego, CA)</w:t>
      </w:r>
    </w:p>
    <w:p>
      <w:pPr>
        <w:pStyle w:val="Normal"/>
        <w:ind w:hanging="2880" w:start="2880" w:end="0"/>
        <w:rPr>
          <w:b/>
          <w:sz w:val="22"/>
        </w:rPr>
      </w:pPr>
      <w:r>
        <w:rPr>
          <w:b/>
          <w:sz w:val="22"/>
        </w:rPr>
      </w:r>
    </w:p>
    <w:p>
      <w:pPr>
        <w:pStyle w:val="Normal"/>
        <w:ind w:hanging="2880" w:start="2880" w:end="0"/>
        <w:rPr/>
      </w:pPr>
      <w:r>
        <w:rPr>
          <w:b/>
          <w:sz w:val="22"/>
        </w:rPr>
        <w:t>07/01/02</w:t>
        <w:tab/>
      </w:r>
      <w:r>
        <w:rPr>
          <w:sz w:val="22"/>
        </w:rPr>
        <w:t>Submission of Secretariat Article 13 Report to Council of Ministers of Canada, Mexico and United States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mallCaps/>
          <w:sz w:val="22"/>
          <w:u w:val="single"/>
        </w:rPr>
      </w:pPr>
      <w:r>
        <w:rPr>
          <w:sz w:val="22"/>
        </w:rPr>
        <w:t xml:space="preserve">  </w:t>
      </w:r>
    </w:p>
    <w:p>
      <w:pPr>
        <w:pStyle w:val="Normal"/>
        <w:rPr>
          <w:smallCaps/>
          <w:sz w:val="22"/>
          <w:u w:val="single"/>
        </w:rPr>
      </w:pPr>
      <w:r>
        <w:rPr>
          <w:smallCaps/>
          <w:sz w:val="22"/>
          <w:u w:val="single"/>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start="1440" w:end="0"/>
        <w:rPr>
          <w:smallCaps/>
          <w:sz w:val="22"/>
        </w:rPr>
      </w:pPr>
      <w:r>
        <w:rPr>
          <w:smallCaps/>
          <w:sz w:val="22"/>
        </w:rPr>
      </w:r>
    </w:p>
    <w:p>
      <w:pPr>
        <w:pStyle w:val="Normal"/>
        <w:ind w:start="720" w:end="0"/>
        <w:rPr>
          <w:smallCaps/>
          <w:sz w:val="22"/>
        </w:rPr>
      </w:pPr>
      <w:r>
        <w:rPr>
          <w:smallCaps/>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upperRoman"/>
      <w:lvlText w:val="%1."/>
      <w:lvlJc w:val="start"/>
      <w:pPr>
        <w:tabs>
          <w:tab w:val="num" w:pos="720"/>
        </w:tabs>
        <w:ind w:start="720" w:hanging="72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mallCaps/>
      <w:sz w:val="22"/>
      <w:u w:val="single"/>
    </w:rPr>
  </w:style>
  <w:style w:type="paragraph" w:styleId="Heading2">
    <w:name w:val="heading 2"/>
    <w:basedOn w:val="Normal"/>
    <w:next w:val="Normal"/>
    <w:qFormat/>
    <w:pPr>
      <w:keepNext w:val="true"/>
      <w:numPr>
        <w:ilvl w:val="1"/>
        <w:numId w:val="1"/>
      </w:numPr>
      <w:ind w:firstLine="720" w:start="0" w:end="0"/>
      <w:outlineLvl w:val="1"/>
    </w:pPr>
    <w:rPr>
      <w:smallCaps/>
      <w:sz w:val="22"/>
      <w:u w:val="single"/>
    </w:rPr>
  </w:style>
  <w:style w:type="paragraph" w:styleId="Heading3">
    <w:name w:val="heading 3"/>
    <w:basedOn w:val="Normal"/>
    <w:next w:val="Normal"/>
    <w:qFormat/>
    <w:pPr>
      <w:keepNext w:val="true"/>
      <w:numPr>
        <w:ilvl w:val="0"/>
        <w:numId w:val="13"/>
      </w:numPr>
      <w:outlineLvl w:val="2"/>
    </w:pPr>
    <w:rPr>
      <w:smallCaps/>
      <w:sz w:val="22"/>
      <w:u w:val="single"/>
    </w:rPr>
  </w:style>
  <w:style w:type="paragraph" w:styleId="Heading4">
    <w:name w:val="heading 4"/>
    <w:basedOn w:val="Normal"/>
    <w:next w:val="Normal"/>
    <w:qFormat/>
    <w:pPr>
      <w:keepNext w:val="true"/>
      <w:numPr>
        <w:ilvl w:val="3"/>
        <w:numId w:val="1"/>
      </w:numPr>
      <w:outlineLvl w:val="3"/>
    </w:pPr>
    <w:rPr>
      <w:smallCaps/>
      <w:sz w:val="2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2001-08-02T17:54:00Z</dcterms:created>
  <dc:creator>Scott Vaughan</dc:creator>
  <dc:description/>
  <dc:language>en-CA</dc:language>
  <cp:lastModifiedBy>CNACE</cp:lastModifiedBy>
  <cp:lastPrinted>2001-07-30T17:30:00Z</cp:lastPrinted>
  <dcterms:modified xsi:type="dcterms:W3CDTF">2001-08-02T17:54:00Z</dcterms:modified>
  <cp:revision>2</cp:revision>
  <dc:subject/>
  <dc:title>ARTICLE 13 REPORT TO COUNCIL:</dc:title>
</cp:coreProperties>
</file>