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b w:val="false"/>
          <w:u w:val="none"/>
        </w:rPr>
      </w:pPr>
      <w:r>
        <w:rPr>
          <w:b w:val="false"/>
          <w:u w:val="none"/>
        </w:rPr>
        <w:t>S.Walton/29Nov2000</w:t>
      </w:r>
    </w:p>
    <w:p>
      <w:pPr>
        <w:pStyle w:val="Normal"/>
        <w:rPr>
          <w:b/>
          <w:u w:val="none"/>
        </w:rPr>
      </w:pPr>
      <w:r>
        <w:rPr>
          <w:b/>
          <w:u w:val="none"/>
        </w:rPr>
      </w:r>
    </w:p>
    <w:p>
      <w:pPr>
        <w:pStyle w:val="Normal"/>
        <w:rPr/>
      </w:pPr>
      <w:r>
        <w:rPr/>
      </w:r>
    </w:p>
    <w:p>
      <w:pPr>
        <w:pStyle w:val="Heading1"/>
        <w:ind w:hanging="0" w:start="0"/>
        <w:rPr/>
      </w:pPr>
      <w:r>
        <w:rPr/>
      </w:r>
    </w:p>
    <w:p>
      <w:pPr>
        <w:pStyle w:val="Heading1"/>
        <w:ind w:hanging="0" w:start="0"/>
        <w:rPr/>
      </w:pPr>
      <w:r>
        <w:rPr/>
        <w:t>Provisions of Transmission Operating Agreement (TOA)</w:t>
      </w:r>
    </w:p>
    <w:p>
      <w:pPr>
        <w:pStyle w:val="Normal"/>
        <w:rPr/>
      </w:pPr>
      <w:r>
        <w:rPr/>
      </w:r>
    </w:p>
    <w:p>
      <w:pPr>
        <w:pStyle w:val="Normal"/>
        <w:rPr/>
      </w:pPr>
      <w:r>
        <w:rPr/>
        <w:t>In order to put everyone on the RTO West tariff, the Transmission Owners (TO’s) agree to suspend all agreements they have between themselves and take service under the tariff.  In order to avoid a cost shift each TO gets a transmission rate that when applied to its loads, will yield a cost equal to that they had before RTO West begins operation.  The TOA does the following:</w:t>
      </w:r>
    </w:p>
    <w:p>
      <w:pPr>
        <w:pStyle w:val="Normal"/>
        <w:rPr/>
      </w:pPr>
      <w:r>
        <w:rPr/>
      </w:r>
    </w:p>
    <w:p>
      <w:pPr>
        <w:pStyle w:val="Normal"/>
        <w:numPr>
          <w:ilvl w:val="0"/>
          <w:numId w:val="3"/>
        </w:numPr>
        <w:rPr/>
      </w:pPr>
      <w:r>
        <w:rPr/>
        <w:t>Transmission Owners (TO’s) turn over transmission to RTO West:</w:t>
      </w:r>
    </w:p>
    <w:p>
      <w:pPr>
        <w:pStyle w:val="Normal"/>
        <w:numPr>
          <w:ilvl w:val="0"/>
          <w:numId w:val="2"/>
        </w:numPr>
        <w:tabs>
          <w:tab w:val="left" w:pos="720" w:leader="none"/>
        </w:tabs>
        <w:ind w:hanging="360" w:start="720" w:end="0"/>
        <w:rPr/>
      </w:pPr>
      <w:r>
        <w:rPr/>
        <w:t>TO paid revenue requirement for their plant investment by RTO West</w:t>
      </w:r>
    </w:p>
    <w:p>
      <w:pPr>
        <w:pStyle w:val="Normal"/>
        <w:numPr>
          <w:ilvl w:val="0"/>
          <w:numId w:val="2"/>
        </w:numPr>
        <w:tabs>
          <w:tab w:val="left" w:pos="720" w:leader="none"/>
        </w:tabs>
        <w:ind w:hanging="360" w:start="720" w:end="0"/>
        <w:rPr/>
      </w:pPr>
      <w:r>
        <w:rPr/>
        <w:t>TO pay for service under the RTO Tariff at rate equal to pre-RTO transmission cost.</w:t>
      </w:r>
    </w:p>
    <w:p>
      <w:pPr>
        <w:pStyle w:val="Normal"/>
        <w:ind w:start="360" w:end="0"/>
        <w:rPr/>
      </w:pPr>
      <w:r>
        <w:rPr/>
      </w:r>
    </w:p>
    <w:p>
      <w:pPr>
        <w:pStyle w:val="Normal"/>
        <w:numPr>
          <w:ilvl w:val="0"/>
          <w:numId w:val="3"/>
        </w:numPr>
        <w:rPr/>
      </w:pPr>
      <w:r>
        <w:rPr/>
        <w:t xml:space="preserve">TO’s Pre-RTO Transmission Cost = Revenue Requirement of TO  + Payment for Wheeling </w:t>
      </w:r>
      <w:r>
        <w:rPr>
          <w:b/>
          <w:u w:val="single"/>
        </w:rPr>
        <w:t>by</w:t>
      </w:r>
      <w:r>
        <w:rPr/>
        <w:t xml:space="preserve"> Others (Paid to) -  Payments for Wheeling </w:t>
      </w:r>
      <w:r>
        <w:rPr>
          <w:b/>
          <w:u w:val="single"/>
        </w:rPr>
        <w:t>for</w:t>
      </w:r>
      <w:r>
        <w:rPr/>
        <w:t xml:space="preserve"> Others(Received from).</w:t>
      </w:r>
    </w:p>
    <w:p>
      <w:pPr>
        <w:pStyle w:val="Normal"/>
        <w:rPr/>
      </w:pPr>
      <w:r>
        <w:rPr/>
      </w:r>
    </w:p>
    <w:p>
      <w:pPr>
        <w:pStyle w:val="Normal"/>
        <w:numPr>
          <w:ilvl w:val="0"/>
          <w:numId w:val="3"/>
        </w:numPr>
        <w:rPr/>
      </w:pPr>
      <w:r>
        <w:rPr/>
        <w:t>“</w:t>
      </w:r>
      <w:r>
        <w:rPr/>
        <w:t>Paid to” and “Received from”:</w:t>
      </w:r>
    </w:p>
    <w:p>
      <w:pPr>
        <w:pStyle w:val="Normal"/>
        <w:numPr>
          <w:ilvl w:val="0"/>
          <w:numId w:val="5"/>
        </w:numPr>
        <w:tabs>
          <w:tab w:val="left" w:pos="720" w:leader="none"/>
        </w:tabs>
        <w:ind w:hanging="360" w:start="720" w:end="0"/>
        <w:rPr/>
      </w:pPr>
      <w:r>
        <w:rPr/>
        <w:t>“</w:t>
      </w:r>
      <w:r>
        <w:rPr/>
        <w:t>Frozen for ten years after RTO West start-up at level equal to average of the two years prior to RTO West start-up.</w:t>
      </w:r>
    </w:p>
    <w:p>
      <w:pPr>
        <w:pStyle w:val="Normal"/>
        <w:numPr>
          <w:ilvl w:val="0"/>
          <w:numId w:val="5"/>
        </w:numPr>
        <w:tabs>
          <w:tab w:val="left" w:pos="720" w:leader="none"/>
        </w:tabs>
        <w:ind w:hanging="360" w:start="720" w:end="0"/>
        <w:rPr/>
      </w:pPr>
      <w:r>
        <w:rPr/>
        <w:t>Includes both long term and short term payments to other TO’s for the TO (PGE) and its affiliates (ENA).</w:t>
      </w:r>
    </w:p>
    <w:p>
      <w:pPr>
        <w:pStyle w:val="Normal"/>
        <w:numPr>
          <w:ilvl w:val="0"/>
          <w:numId w:val="5"/>
        </w:numPr>
        <w:tabs>
          <w:tab w:val="left" w:pos="720" w:leader="none"/>
        </w:tabs>
        <w:ind w:hanging="360" w:start="720" w:end="0"/>
        <w:rPr/>
      </w:pPr>
      <w:r>
        <w:rPr/>
        <w:t xml:space="preserve">Collection from affiliates or any non-TO is the responsibility of the TO (PGE).  </w:t>
      </w:r>
    </w:p>
    <w:p>
      <w:pPr>
        <w:pStyle w:val="Normal"/>
        <w:numPr>
          <w:ilvl w:val="0"/>
          <w:numId w:val="4"/>
        </w:numPr>
        <w:tabs>
          <w:tab w:val="clear" w:pos="720"/>
          <w:tab w:val="left" w:pos="1080" w:leader="none"/>
        </w:tabs>
        <w:ind w:hanging="360" w:start="1080" w:end="0"/>
        <w:rPr/>
      </w:pPr>
      <w:r>
        <w:rPr/>
        <w:t>Long Term – By existing contracts</w:t>
      </w:r>
    </w:p>
    <w:p>
      <w:pPr>
        <w:pStyle w:val="Normal"/>
        <w:numPr>
          <w:ilvl w:val="0"/>
          <w:numId w:val="4"/>
        </w:numPr>
        <w:tabs>
          <w:tab w:val="clear" w:pos="720"/>
          <w:tab w:val="left" w:pos="1080" w:leader="none"/>
        </w:tabs>
        <w:ind w:hanging="360" w:start="1080" w:end="0"/>
        <w:rPr/>
      </w:pPr>
      <w:r>
        <w:rPr/>
        <w:t>Short Term – Potential shortfall</w:t>
      </w:r>
    </w:p>
    <w:p>
      <w:pPr>
        <w:pStyle w:val="Normal"/>
        <w:rPr/>
      </w:pPr>
      <w:r>
        <w:rPr/>
      </w:r>
    </w:p>
    <w:p>
      <w:pPr>
        <w:pStyle w:val="Normal"/>
        <w:numPr>
          <w:ilvl w:val="0"/>
          <w:numId w:val="3"/>
        </w:numPr>
        <w:rPr/>
      </w:pPr>
      <w:r>
        <w:rPr/>
        <w:t xml:space="preserve">TO’s who have fixed cost obligations for the Pacific Intertie, will continue to pay those cost in exchange for FTRs.  </w:t>
      </w:r>
    </w:p>
    <w:p>
      <w:pPr>
        <w:pStyle w:val="Normal"/>
        <w:numPr>
          <w:ilvl w:val="0"/>
          <w:numId w:val="6"/>
        </w:numPr>
        <w:tabs>
          <w:tab w:val="left" w:pos="720" w:leader="none"/>
        </w:tabs>
        <w:ind w:hanging="360" w:start="720" w:end="0"/>
        <w:rPr/>
      </w:pPr>
      <w:r>
        <w:rPr/>
        <w:t xml:space="preserve">If a party (ENA) with a contract with a TO (ENA with PGE) decided to convert that contract to RTO West service, the party (ENA) will pay its current cost and have the FTRs issued directly to it.  </w:t>
      </w:r>
    </w:p>
    <w:p>
      <w:pPr>
        <w:pStyle w:val="Normal"/>
        <w:numPr>
          <w:ilvl w:val="0"/>
          <w:numId w:val="6"/>
        </w:numPr>
        <w:tabs>
          <w:tab w:val="left" w:pos="720" w:leader="none"/>
        </w:tabs>
        <w:ind w:hanging="360" w:start="720" w:end="0"/>
        <w:rPr/>
      </w:pPr>
      <w:r>
        <w:rPr/>
        <w:t xml:space="preserve">If the contract </w:t>
      </w:r>
      <w:r>
        <w:rPr>
          <w:u w:val="single"/>
        </w:rPr>
        <w:t>is not</w:t>
      </w:r>
      <w:r>
        <w:rPr/>
        <w:t xml:space="preserve"> converted, the RTO will issue FTRs to PGE so that it can honor the contract.</w:t>
      </w:r>
    </w:p>
    <w:p>
      <w:pPr>
        <w:pStyle w:val="Normal"/>
        <w:ind w:start="360" w:end="0"/>
        <w:rPr/>
      </w:pPr>
      <w:r>
        <w:rPr/>
      </w:r>
    </w:p>
    <w:p>
      <w:pPr>
        <w:pStyle w:val="Normal"/>
        <w:numPr>
          <w:ilvl w:val="0"/>
          <w:numId w:val="3"/>
        </w:numPr>
        <w:rPr/>
      </w:pPr>
      <w:r>
        <w:rPr/>
        <w:t>No volumetric ($/MWh) export charge is currently contemplated.  If it were added, the compromise, which led to the above structure, would no longer work.  Our latest information is that only Sierra Pacific is holding out for an export fee in an effort to collect from California parties.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1800"/>
        </w:tabs>
        <w:ind w:start="1800" w:hanging="360"/>
      </w:pPr>
      <w:rPr>
        <w:rFonts w:ascii="Times New Roman" w:hAnsi="Times New Roman" w:cs="Times New Roman"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WW8Num1z0">
    <w:name w:val="WW8Num1z0"/>
    <w:qFormat/>
    <w:rPr>
      <w:rFonts w:ascii="Symbol" w:hAnsi="Symbol" w:cs="Symbol"/>
    </w:rPr>
  </w:style>
  <w:style w:type="character" w:styleId="WW8Num4z0">
    <w:name w:val="WW8Num4z0"/>
    <w:qFormat/>
    <w:rPr>
      <w:rFonts w:ascii="Times New Roman" w:hAnsi="Times New Roman" w:cs="Times New Roman"/>
    </w:rPr>
  </w:style>
  <w:style w:type="character" w:styleId="WW8Num6z0">
    <w:name w:val="WW8Num6z0"/>
    <w:qFormat/>
    <w:rPr>
      <w:rFonts w:ascii="Wingdings" w:hAnsi="Wingdings" w:cs="Wingdings"/>
    </w:rPr>
  </w:style>
  <w:style w:type="character" w:styleId="WW8Num7z0">
    <w:name w:val="WW8Num7z0"/>
    <w:qFormat/>
    <w:rPr>
      <w:rFonts w:ascii="Times New Roman" w:hAnsi="Times New Roman" w:cs="Times New Roman"/>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2000-11-29T18:09:00Z</dcterms:created>
  <dc:creator>swalto2</dc:creator>
  <dc:description/>
  <dc:language>en-CA</dc:language>
  <cp:lastModifiedBy>swalto2</cp:lastModifiedBy>
  <cp:lastPrinted>2000-11-29T16:43:00Z</cp:lastPrinted>
  <dcterms:modified xsi:type="dcterms:W3CDTF">2000-11-29T20:57:00Z</dcterms:modified>
  <cp:revision>3</cp:revision>
  <dc:subject/>
  <dc:title>S</dc:title>
</cp:coreProperties>
</file>