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sz w:val="32"/>
        </w:rPr>
      </w:pPr>
      <w:r>
        <w:rPr>
          <w:sz w:val="32"/>
        </w:rPr>
        <w:t>Draft Term Sheet for</w:t>
      </w:r>
    </w:p>
    <w:p>
      <w:pPr>
        <w:pStyle w:val="Heading6"/>
        <w:ind w:hanging="0" w:start="0"/>
        <w:rPr/>
      </w:pPr>
      <w:r>
        <w:rPr/>
        <w:t xml:space="preserve">Power Marketing Alliance Agreement Between </w:t>
      </w:r>
    </w:p>
    <w:p>
      <w:pPr>
        <w:pStyle w:val="Heading6"/>
        <w:ind w:hanging="0" w:start="0"/>
        <w:rPr/>
      </w:pPr>
      <w:r>
        <w:rPr/>
        <w:t xml:space="preserve">Enron Power Marketing, Inc. and </w:t>
      </w:r>
    </w:p>
    <w:p>
      <w:pPr>
        <w:pStyle w:val="Heading6"/>
        <w:ind w:hanging="0" w:start="0"/>
        <w:rPr/>
      </w:pPr>
      <w:r>
        <w:rPr/>
        <w:t>Texas-New Mexico Power Company</w:t>
      </w:r>
    </w:p>
    <w:p>
      <w:pPr>
        <w:pStyle w:val="Normal"/>
        <w:jc w:val="center"/>
        <w:rPr>
          <w:b/>
          <w:sz w:val="32"/>
        </w:rPr>
      </w:pPr>
      <w:r>
        <w:rPr>
          <w:b/>
          <w:sz w:val="32"/>
        </w:rPr>
        <w:t>December 8, 2000</w:t>
      </w:r>
    </w:p>
    <w:p>
      <w:pPr>
        <w:pStyle w:val="Normal"/>
        <w:rPr>
          <w:b/>
          <w:sz w:val="32"/>
        </w:rPr>
      </w:pPr>
      <w:r>
        <w:rPr>
          <w:b/>
          <w:sz w:val="32"/>
        </w:rPr>
      </w:r>
    </w:p>
    <w:p>
      <w:pPr>
        <w:pStyle w:val="Normal"/>
        <w:tabs>
          <w:tab w:val="clear" w:pos="720"/>
          <w:tab w:val="left" w:pos="-1440" w:leader="none"/>
        </w:tabs>
        <w:ind w:hanging="2880" w:start="2880" w:end="0"/>
        <w:rPr/>
      </w:pPr>
      <w:r>
        <w:rPr>
          <w:b/>
        </w:rPr>
        <w:t>Parties:</w:t>
        <w:tab/>
        <w:tab/>
        <w:tab/>
      </w:r>
      <w:r>
        <w:rPr/>
        <w:t>Texas-New  Mexico Power Company ( ”TNMP”), and Enron Power Marketing, Inc. (”EPMI”)</w:t>
      </w:r>
    </w:p>
    <w:p>
      <w:pPr>
        <w:pStyle w:val="Normal"/>
        <w:tabs>
          <w:tab w:val="clear" w:pos="720"/>
          <w:tab w:val="left" w:pos="-1440" w:leader="none"/>
        </w:tabs>
        <w:rPr/>
      </w:pPr>
      <w:r>
        <w:rPr/>
      </w:r>
    </w:p>
    <w:p>
      <w:pPr>
        <w:pStyle w:val="Normal"/>
        <w:tabs>
          <w:tab w:val="clear" w:pos="720"/>
          <w:tab w:val="left" w:pos="-1440" w:leader="none"/>
        </w:tabs>
        <w:ind w:hanging="2880" w:start="2880" w:end="0"/>
        <w:rPr/>
      </w:pPr>
      <w:r>
        <w:rPr>
          <w:b/>
        </w:rPr>
        <w:t>Alliance Scope:</w:t>
      </w:r>
      <w:r>
        <w:rPr/>
        <w:tab/>
        <w:tab/>
        <w:t>To the extent TNMP’s resources are greater than TNMP’s energy requirements, EPMI to act as exclusive power marketer to optimize TNMP’s existing assets (“Assets”) beginning in June 2001. Beginning in January 2002,</w:t>
      </w:r>
      <w:r>
        <w:rPr>
          <w:b/>
        </w:rPr>
        <w:t xml:space="preserve"> </w:t>
      </w:r>
      <w:r>
        <w:rPr/>
        <w:t>EPMI would supply approximately 1,100 MW of incremental capacity to TNMP, and would provide risk management products/services appropriate to manage TNMP’s market exposure. EPMI also would provide QSE and Ancillary Services to TNMP beginning in June 2001.</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Term:</w:t>
        <w:tab/>
        <w:tab/>
        <w:tab/>
        <w:tab/>
      </w:r>
      <w:r>
        <w:rPr/>
        <w:t>June 1, 2001 through December 31, 2006</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Optimization of</w:t>
      </w:r>
    </w:p>
    <w:p>
      <w:pPr>
        <w:pStyle w:val="Normal"/>
        <w:tabs>
          <w:tab w:val="clear" w:pos="720"/>
          <w:tab w:val="left" w:pos="-1440" w:leader="none"/>
        </w:tabs>
        <w:ind w:hanging="2880" w:start="2880" w:end="0"/>
        <w:rPr/>
      </w:pPr>
      <w:r>
        <w:rPr>
          <w:b/>
        </w:rPr>
        <w:t>Existing Assets:</w:t>
        <w:tab/>
        <w:tab/>
      </w:r>
      <w:r>
        <w:rPr/>
        <w:t>In 2001,</w:t>
      </w:r>
      <w:r>
        <w:rPr>
          <w:b/>
        </w:rPr>
        <w:t xml:space="preserve"> </w:t>
      </w:r>
      <w:r>
        <w:rPr/>
        <w:t xml:space="preserve">EPMI would optimize TNMP’s assets that are in excess of TNMP’s energy requirements. EMPI would remarket these MWs under one of the two following options: </w:t>
      </w:r>
    </w:p>
    <w:p>
      <w:pPr>
        <w:pStyle w:val="Normal"/>
        <w:tabs>
          <w:tab w:val="clear" w:pos="720"/>
          <w:tab w:val="left" w:pos="-1440" w:leader="none"/>
        </w:tabs>
        <w:ind w:hanging="2880" w:start="2880" w:end="0"/>
        <w:rPr>
          <w:b/>
        </w:rPr>
      </w:pPr>
      <w:r>
        <w:rPr>
          <w:b/>
        </w:rPr>
        <w:tab/>
        <w:tab/>
        <w:tab/>
        <w:tab/>
      </w:r>
    </w:p>
    <w:p>
      <w:pPr>
        <w:pStyle w:val="Normal"/>
        <w:numPr>
          <w:ilvl w:val="0"/>
          <w:numId w:val="3"/>
        </w:numPr>
        <w:tabs>
          <w:tab w:val="clear" w:pos="720"/>
          <w:tab w:val="left" w:pos="-1440" w:leader="none"/>
        </w:tabs>
        <w:rPr/>
      </w:pPr>
      <w:r>
        <w:rPr/>
        <w:t>If EPMI sells MWs at a price that is greater than an agreed-to Market-Based Heat Rate Strike Price, then EPMI participates in optimization profit sharing with TNMP at an 80/20 sharing ratio (TNMP/EMPI). If EPMI sells MWs at a price equal to or below the Heat Rate Strike Price, TNMP pays EPMI a remarket fee of an agreed-to Index less 10 cents.</w:t>
      </w:r>
    </w:p>
    <w:p>
      <w:pPr>
        <w:pStyle w:val="Normal"/>
        <w:tabs>
          <w:tab w:val="clear" w:pos="720"/>
          <w:tab w:val="left" w:pos="-1440" w:leader="none"/>
        </w:tabs>
        <w:ind w:start="2880" w:end="0"/>
        <w:rPr>
          <w:b/>
        </w:rPr>
      </w:pPr>
      <w:r>
        <w:rPr>
          <w:b/>
        </w:rPr>
      </w:r>
    </w:p>
    <w:p>
      <w:pPr>
        <w:pStyle w:val="Normal"/>
        <w:tabs>
          <w:tab w:val="clear" w:pos="720"/>
          <w:tab w:val="left" w:pos="-1440" w:leader="none"/>
        </w:tabs>
        <w:ind w:start="2880" w:end="0"/>
        <w:rPr>
          <w:b/>
          <w:color w:val="0000FF"/>
        </w:rPr>
      </w:pPr>
      <w:r>
        <w:rPr/>
        <w:t>2)</w:t>
      </w:r>
      <w:r>
        <w:rPr>
          <w:b/>
        </w:rPr>
        <w:t xml:space="preserve">   </w:t>
      </w:r>
      <w:r>
        <w:rPr/>
        <w:t>EPMI would remarket MWs at an agreed-to Index less 10 cents.</w:t>
      </w:r>
      <w:r>
        <w:rPr>
          <w:color w:val="0000FF"/>
        </w:rPr>
        <w:t xml:space="preserve"> </w:t>
      </w:r>
    </w:p>
    <w:p>
      <w:pPr>
        <w:pStyle w:val="Normal"/>
        <w:tabs>
          <w:tab w:val="clear" w:pos="720"/>
          <w:tab w:val="left" w:pos="-1440" w:leader="none"/>
        </w:tabs>
        <w:ind w:hanging="2880" w:start="2880" w:end="0"/>
        <w:rPr>
          <w:b/>
          <w:color w:val="0000FF"/>
        </w:rPr>
      </w:pPr>
      <w:r>
        <w:rPr>
          <w:b/>
          <w:color w:val="0000FF"/>
        </w:rPr>
      </w:r>
    </w:p>
    <w:p>
      <w:pPr>
        <w:pStyle w:val="Header"/>
        <w:tabs>
          <w:tab w:val="clear" w:pos="4320"/>
          <w:tab w:val="clear" w:pos="8640"/>
          <w:tab w:val="left" w:pos="-1440" w:leader="none"/>
        </w:tabs>
        <w:rPr>
          <w:color w:val="0000FF"/>
        </w:rPr>
      </w:pPr>
      <w:r>
        <w:rPr>
          <w:color w:val="0000FF"/>
        </w:rPr>
      </w:r>
    </w:p>
    <w:p>
      <w:pPr>
        <w:pStyle w:val="Normal"/>
        <w:tabs>
          <w:tab w:val="clear" w:pos="720"/>
          <w:tab w:val="left" w:pos="-1440" w:leader="none"/>
        </w:tabs>
        <w:ind w:hanging="2880" w:start="2880" w:end="0"/>
        <w:rPr/>
      </w:pPr>
      <w:r>
        <w:rPr>
          <w:b/>
        </w:rPr>
        <w:t>TNMP’s Load Growth:</w:t>
        <w:tab/>
      </w:r>
      <w:r>
        <w:rPr/>
        <w:t>TNMP’s peak and off-peak load growth, both inside and outside TNMP’s traditional service territory. Load Growth curves to be agreed upon. Baseline for peak load in 2002 is expected to be 1,100 MWs.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Power</w:t>
      </w:r>
      <w:r>
        <w:rPr>
          <w:b/>
          <w:color w:val="0000FF"/>
        </w:rPr>
        <w:t xml:space="preserve"> Supply Stuctures:</w:t>
        <w:tab/>
      </w:r>
      <w:r>
        <w:rPr>
          <w:color w:val="0000FF"/>
        </w:rPr>
        <w:t>EPMI would offer four structures from which TNMP can choose depending on the degree of price risk exposure and load flexibility TNMP desires.</w:t>
      </w:r>
    </w:p>
    <w:p>
      <w:pPr>
        <w:pStyle w:val="Normal"/>
        <w:tabs>
          <w:tab w:val="clear" w:pos="720"/>
          <w:tab w:val="left" w:pos="-1440" w:leader="none"/>
        </w:tabs>
        <w:ind w:hanging="2880" w:start="2880" w:end="0"/>
        <w:rPr>
          <w:b/>
          <w:color w:val="0000FF"/>
        </w:rPr>
      </w:pPr>
      <w:r>
        <w:rPr>
          <w:b/>
          <w:color w:val="0000FF"/>
        </w:rPr>
      </w:r>
    </w:p>
    <w:p>
      <w:pPr>
        <w:pStyle w:val="Normal"/>
        <w:tabs>
          <w:tab w:val="clear" w:pos="720"/>
          <w:tab w:val="left" w:pos="-1440" w:leader="none"/>
        </w:tabs>
        <w:ind w:hanging="2880" w:start="2880" w:end="0"/>
        <w:rPr/>
      </w:pPr>
      <w:r>
        <w:rPr>
          <w:b/>
          <w:color w:val="0000FF"/>
        </w:rPr>
        <w:tab/>
        <w:t>1</w:t>
      </w:r>
      <w:r>
        <w:rPr>
          <w:b/>
        </w:rPr>
        <w:t>: Index</w:t>
        <w:tab/>
        <w:tab/>
      </w:r>
      <w:r>
        <w:rPr/>
        <w:t xml:space="preserve">EPMI would supply TNMP at TNMP’s  Load Growth curve at Index pricing (Index to be agreed upon). </w:t>
      </w:r>
    </w:p>
    <w:p>
      <w:pPr>
        <w:pStyle w:val="Normal"/>
        <w:tabs>
          <w:tab w:val="clear" w:pos="720"/>
          <w:tab w:val="left" w:pos="-1440" w:leader="none"/>
        </w:tabs>
        <w:ind w:hanging="2880" w:start="2880" w:end="0"/>
        <w:rPr>
          <w:b/>
        </w:rPr>
      </w:pPr>
      <w:r>
        <w:rPr/>
        <w:t xml:space="preserve"> </w:t>
      </w:r>
    </w:p>
    <w:p>
      <w:pPr>
        <w:pStyle w:val="Normal"/>
        <w:ind w:hanging="2160" w:start="2880" w:end="0"/>
        <w:rPr>
          <w:b/>
          <w:color w:val="0000FF"/>
        </w:rPr>
      </w:pPr>
      <w:r>
        <w:rPr>
          <w:b/>
          <w:color w:val="0000FF"/>
        </w:rPr>
        <w:t>2</w:t>
      </w:r>
      <w:r>
        <w:rPr>
          <w:color w:val="0000FF"/>
        </w:rPr>
        <w:t xml:space="preserve">: </w:t>
      </w:r>
      <w:r>
        <w:rPr>
          <w:b/>
          <w:color w:val="0000FF"/>
        </w:rPr>
        <w:t>Fixed + Index:</w:t>
      </w:r>
      <w:r>
        <w:rPr/>
        <w:tab/>
        <w:t>EPMI would supply TNMP at TNMP’s Load Growth curve with a combination of Fixed</w:t>
      </w:r>
      <w:r>
        <w:rPr>
          <w:b/>
        </w:rPr>
        <w:t xml:space="preserve"> </w:t>
      </w:r>
      <w:r>
        <w:rPr/>
        <w:t>and Index</w:t>
      </w:r>
      <w:r>
        <w:rPr>
          <w:b/>
        </w:rPr>
        <w:t xml:space="preserve"> </w:t>
      </w:r>
      <w:r>
        <w:rPr/>
        <w:t>pricing.  EPMI would supply a minimum portion of TNMP’s Load Growth curve at a Fixed price, allowing TNMP to hedge a portion of its Load Growth against price risk. EPMI would supply the remaining load at an Index price.</w:t>
      </w:r>
    </w:p>
    <w:p>
      <w:pPr>
        <w:pStyle w:val="Normal"/>
        <w:rPr>
          <w:b/>
          <w:color w:val="0000FF"/>
        </w:rPr>
      </w:pPr>
      <w:r>
        <w:rPr>
          <w:b/>
          <w:color w:val="0000FF"/>
        </w:rPr>
      </w:r>
    </w:p>
    <w:p>
      <w:pPr>
        <w:pStyle w:val="Normal"/>
        <w:tabs>
          <w:tab w:val="clear" w:pos="720"/>
          <w:tab w:val="left" w:pos="-1440" w:leader="none"/>
        </w:tabs>
        <w:ind w:hanging="2880" w:start="2880" w:end="0"/>
        <w:rPr>
          <w:b/>
        </w:rPr>
      </w:pPr>
      <w:r>
        <w:rPr>
          <w:b/>
        </w:rPr>
        <w:tab/>
        <w:t xml:space="preserve">3: Fixed    + </w:t>
      </w:r>
    </w:p>
    <w:p>
      <w:pPr>
        <w:pStyle w:val="Normal"/>
        <w:tabs>
          <w:tab w:val="clear" w:pos="720"/>
          <w:tab w:val="left" w:pos="-1440" w:leader="none"/>
        </w:tabs>
        <w:ind w:hanging="2880" w:start="2880" w:end="0"/>
        <w:rPr/>
      </w:pPr>
      <w:r>
        <w:rPr>
          <w:b/>
        </w:rPr>
        <w:tab/>
        <w:t xml:space="preserve">    Remarketing:</w:t>
        <w:tab/>
      </w:r>
      <w:r>
        <w:rPr>
          <w:color w:val="0000FF"/>
        </w:rPr>
        <w:t>EPMI would supply a TNMP at TNMP’s Load Growth curve at a Fixed</w:t>
      </w:r>
      <w:r>
        <w:rPr>
          <w:b/>
          <w:color w:val="0000FF"/>
        </w:rPr>
        <w:t xml:space="preserve"> </w:t>
      </w:r>
      <w:r>
        <w:rPr>
          <w:color w:val="0000FF"/>
        </w:rPr>
        <w:t xml:space="preserve">price.  To the extent the actual Load Growth curve deviates from the agreed-to Load Growth curve, </w:t>
      </w:r>
      <w:r>
        <w:rPr/>
        <w:t>TNMP, at its election, would buy</w:t>
      </w:r>
      <w:r>
        <w:rPr>
          <w:color w:val="0000FF"/>
        </w:rPr>
        <w:t>/sell</w:t>
      </w:r>
      <w:r>
        <w:rPr/>
        <w:t xml:space="preserve"> incremental power at one of the following prices: an Enron quoted price, an Enron Online price or a TNMP third party supplier price (provided power is scheduled through EPMI QSE). If TNMP did not elect one of these prices, then the pricing structure would default to the Index price +/- 10 cents.</w:t>
      </w:r>
    </w:p>
    <w:p>
      <w:pPr>
        <w:pStyle w:val="Normal"/>
        <w:tabs>
          <w:tab w:val="clear" w:pos="720"/>
          <w:tab w:val="left" w:pos="-1440" w:leader="none"/>
        </w:tabs>
        <w:ind w:hanging="2880" w:start="2880" w:end="0"/>
        <w:rPr>
          <w:color w:val="0000FF"/>
        </w:rPr>
      </w:pPr>
      <w:r>
        <w:rPr>
          <w:color w:val="0000FF"/>
        </w:rPr>
        <w:t>.</w:t>
      </w:r>
    </w:p>
    <w:p>
      <w:pPr>
        <w:pStyle w:val="Normal"/>
        <w:rPr/>
      </w:pPr>
      <w:r>
        <w:rPr/>
      </w:r>
    </w:p>
    <w:p>
      <w:pPr>
        <w:pStyle w:val="Normal"/>
        <w:tabs>
          <w:tab w:val="clear" w:pos="720"/>
          <w:tab w:val="left" w:pos="-1440" w:leader="none"/>
        </w:tabs>
        <w:ind w:hanging="2880" w:start="2880" w:end="0"/>
        <w:rPr>
          <w:b/>
        </w:rPr>
      </w:pPr>
      <w:r>
        <w:rPr>
          <w:b/>
        </w:rPr>
        <w:tab/>
        <w:t>4: Fixed with</w:t>
      </w:r>
    </w:p>
    <w:p>
      <w:pPr>
        <w:pStyle w:val="Normal"/>
        <w:tabs>
          <w:tab w:val="clear" w:pos="720"/>
          <w:tab w:val="left" w:pos="-1440" w:leader="none"/>
        </w:tabs>
        <w:ind w:hanging="2880" w:start="2880" w:end="0"/>
        <w:rPr/>
      </w:pPr>
      <w:r>
        <w:rPr>
          <w:b/>
        </w:rPr>
        <w:tab/>
        <w:t xml:space="preserve">    Bandwidth:</w:t>
        <w:tab/>
      </w:r>
      <w:r>
        <w:rPr/>
        <w:t>EPMI would supply TNMP’s Load Growth curve, plus or minus 10% load fluctuation, at a fixed price. EPMI would assume price risk for fluctuations within this 10% band. If Load Growth curve increases or decreases beyond 10%, TNMP, at its election, would buy</w:t>
      </w:r>
      <w:r>
        <w:rPr>
          <w:color w:val="0000FF"/>
        </w:rPr>
        <w:t>/sell</w:t>
      </w:r>
      <w:r>
        <w:rPr/>
        <w:t xml:space="preserve"> incremental power at one of the following prices: an Enron quoted price, an Enron Online price or a TNMP third party supplier price (provided power is scheduled through EPMI QSE). If TNMP did not elect one of these prices, then the pricing structure would default to the Index price +/- 10 cents.</w:t>
      </w:r>
    </w:p>
    <w:p>
      <w:pPr>
        <w:pStyle w:val="Normal"/>
        <w:tabs>
          <w:tab w:val="clear" w:pos="720"/>
          <w:tab w:val="left" w:pos="-1440" w:leader="none"/>
        </w:tabs>
        <w:ind w:hanging="2880" w:start="2880" w:end="0"/>
        <w:rPr>
          <w:b/>
        </w:rPr>
      </w:pPr>
      <w:r>
        <w:rPr>
          <w:b/>
        </w:rPr>
      </w:r>
    </w:p>
    <w:p>
      <w:pPr>
        <w:pStyle w:val="Heading7"/>
        <w:tabs>
          <w:tab w:val="clear" w:pos="720"/>
          <w:tab w:val="left" w:pos="-1440" w:leader="none"/>
        </w:tabs>
        <w:rPr/>
      </w:pPr>
      <w:r>
        <w:rPr/>
        <w:t xml:space="preserve">Power Risk </w:t>
      </w:r>
    </w:p>
    <w:p>
      <w:pPr>
        <w:pStyle w:val="Normal"/>
        <w:tabs>
          <w:tab w:val="clear" w:pos="720"/>
          <w:tab w:val="left" w:pos="-1440" w:leader="none"/>
        </w:tabs>
        <w:ind w:hanging="2880" w:start="2880" w:end="0"/>
        <w:rPr>
          <w:color w:val="0000FF"/>
        </w:rPr>
      </w:pPr>
      <w:r>
        <w:rPr>
          <w:b/>
        </w:rPr>
        <w:t>Management:</w:t>
      </w:r>
      <w:r>
        <w:rPr/>
        <w:tab/>
        <w:tab/>
        <w:tab/>
      </w:r>
      <w:r>
        <w:rPr>
          <w:color w:val="FF0000"/>
        </w:rPr>
        <w:t xml:space="preserve">EPMI  would discuss as frequently as daily with TNMP additional appropriate risk management tools-- including swaps, forwards, and options –allowing TNMP to hedge against remaining price risk associated with Structures 1-4 (most applicable to Structures 1 and 2) and allowing TNMP to enhance its  price risk management position. </w:t>
      </w:r>
    </w:p>
    <w:p>
      <w:pPr>
        <w:pStyle w:val="Normal"/>
        <w:tabs>
          <w:tab w:val="clear" w:pos="720"/>
          <w:tab w:val="left" w:pos="-1440" w:leader="none"/>
        </w:tabs>
        <w:ind w:hanging="2880" w:start="2880" w:end="0"/>
        <w:rPr>
          <w:color w:val="FF0000"/>
        </w:rPr>
      </w:pPr>
      <w:r>
        <w:rPr/>
        <w:tab/>
        <w:tab/>
        <w:tab/>
        <w:tab/>
      </w:r>
      <w:r>
        <w:rPr>
          <w:b/>
        </w:rPr>
        <w:tab/>
        <w:tab/>
        <w:tab/>
        <w:tab/>
      </w:r>
    </w:p>
    <w:p>
      <w:pPr>
        <w:pStyle w:val="Normal"/>
        <w:tabs>
          <w:tab w:val="clear" w:pos="720"/>
          <w:tab w:val="left" w:pos="-1440" w:leader="none"/>
        </w:tabs>
        <w:ind w:hanging="2880" w:start="2880" w:end="0"/>
        <w:rPr>
          <w:color w:val="FF0000"/>
        </w:rPr>
      </w:pPr>
      <w:r>
        <w:rPr>
          <w:color w:val="FF0000"/>
        </w:rPr>
      </w:r>
    </w:p>
    <w:p>
      <w:pPr>
        <w:pStyle w:val="Normal"/>
        <w:tabs>
          <w:tab w:val="clear" w:pos="720"/>
          <w:tab w:val="left" w:pos="-1440" w:leader="none"/>
        </w:tabs>
        <w:ind w:hanging="2880" w:start="2880" w:end="0"/>
        <w:rPr/>
      </w:pPr>
      <w:r>
        <w:rPr>
          <w:b/>
        </w:rPr>
        <w:t>Gas Risk Management:</w:t>
        <w:tab/>
      </w:r>
      <w:r>
        <w:rPr>
          <w:color w:val="0000FF"/>
        </w:rPr>
        <w:t>EPMI would provide similar appropriate risk management tools for gas.</w:t>
      </w:r>
      <w:r>
        <w:rPr>
          <w:color w:val="FF0000"/>
        </w:rPr>
        <w:t xml:space="preserve"> TNMP can discuss as frequently as daily with EPMI gas desk.</w:t>
      </w:r>
    </w:p>
    <w:p>
      <w:pPr>
        <w:pStyle w:val="Normal"/>
        <w:tabs>
          <w:tab w:val="clear" w:pos="720"/>
          <w:tab w:val="left" w:pos="-1440" w:leader="none"/>
        </w:tabs>
        <w:ind w:hanging="2880" w:start="2880" w:end="0"/>
        <w:rPr/>
      </w:pPr>
      <w:r>
        <w:rPr/>
      </w:r>
    </w:p>
    <w:p>
      <w:pPr>
        <w:pStyle w:val="Heading7"/>
        <w:tabs>
          <w:tab w:val="clear" w:pos="720"/>
          <w:tab w:val="left" w:pos="-1440" w:leader="none"/>
        </w:tabs>
        <w:rPr/>
      </w:pPr>
      <w:r>
        <w:rPr/>
        <w:t xml:space="preserve">Renewable Energy </w:t>
      </w:r>
    </w:p>
    <w:p>
      <w:pPr>
        <w:pStyle w:val="Normal"/>
        <w:tabs>
          <w:tab w:val="clear" w:pos="720"/>
          <w:tab w:val="left" w:pos="-1440" w:leader="none"/>
        </w:tabs>
        <w:ind w:hanging="2880" w:start="2880" w:end="0"/>
        <w:rPr/>
      </w:pPr>
      <w:r>
        <w:rPr>
          <w:b/>
        </w:rPr>
        <w:t>Credits:</w:t>
      </w:r>
      <w:r>
        <w:rPr/>
        <w:tab/>
        <w:tab/>
        <w:tab/>
        <w:t>EPMI would provide all of TNMP’s renewable energy requirements (including Renewable Energy Credits (“RECs”)) at a fixed price of $35/MWh (as of 12/11/00). Pricing would be subject to market rates at time of deal execution.</w:t>
      </w:r>
      <w:r>
        <w:rPr>
          <w:color w:val="0000FF"/>
        </w:rPr>
        <w:t xml:space="preserve"> Green Power is expected to be provided from renewable wind power.</w:t>
      </w:r>
      <w:r>
        <w:rPr>
          <w:color w:val="FF0000"/>
        </w:rPr>
        <w:t xml:space="preserve"> The following schedule represents TNMP’s expected REC requirements for the term: </w:t>
      </w:r>
    </w:p>
    <w:p>
      <w:pPr>
        <w:pStyle w:val="Normal"/>
        <w:tabs>
          <w:tab w:val="clear" w:pos="720"/>
          <w:tab w:val="left" w:pos="-1440" w:leader="none"/>
        </w:tabs>
        <w:ind w:hanging="2880" w:start="2880" w:end="0"/>
        <w:rPr>
          <w:color w:val="FF0000"/>
        </w:rPr>
      </w:pPr>
      <w:r>
        <w:rPr>
          <w:color w:val="FF0000"/>
        </w:rPr>
      </w:r>
    </w:p>
    <w:p>
      <w:pPr>
        <w:pStyle w:val="Normal"/>
        <w:numPr>
          <w:ilvl w:val="0"/>
          <w:numId w:val="2"/>
        </w:numPr>
        <w:tabs>
          <w:tab w:val="clear" w:pos="720"/>
          <w:tab w:val="left" w:pos="-1440" w:leader="none"/>
        </w:tabs>
        <w:rPr/>
      </w:pPr>
      <w:r>
        <w:rPr/>
        <w:t xml:space="preserve"> </w:t>
      </w:r>
      <w:r>
        <w:rPr/>
        <w:t>8 MWs</w:t>
      </w:r>
    </w:p>
    <w:p>
      <w:pPr>
        <w:pStyle w:val="Normal"/>
        <w:numPr>
          <w:ilvl w:val="0"/>
          <w:numId w:val="2"/>
        </w:numPr>
        <w:tabs>
          <w:tab w:val="clear" w:pos="720"/>
          <w:tab w:val="left" w:pos="-1440" w:leader="none"/>
        </w:tabs>
        <w:rPr/>
      </w:pPr>
      <w:r>
        <w:rPr/>
        <w:t xml:space="preserve"> </w:t>
      </w:r>
      <w:r>
        <w:rPr/>
        <w:t>8 MWs</w:t>
      </w:r>
    </w:p>
    <w:p>
      <w:pPr>
        <w:pStyle w:val="Normal"/>
        <w:numPr>
          <w:ilvl w:val="0"/>
          <w:numId w:val="2"/>
        </w:numPr>
        <w:tabs>
          <w:tab w:val="clear" w:pos="720"/>
          <w:tab w:val="left" w:pos="-1440" w:leader="none"/>
        </w:tabs>
        <w:rPr/>
      </w:pPr>
      <w:r>
        <w:rPr/>
        <w:t>16 MWs</w:t>
      </w:r>
    </w:p>
    <w:p>
      <w:pPr>
        <w:pStyle w:val="Normal"/>
        <w:numPr>
          <w:ilvl w:val="0"/>
          <w:numId w:val="2"/>
        </w:numPr>
        <w:tabs>
          <w:tab w:val="clear" w:pos="720"/>
          <w:tab w:val="left" w:pos="-1440" w:leader="none"/>
        </w:tabs>
        <w:rPr/>
      </w:pPr>
      <w:r>
        <w:rPr/>
        <w:t>16 MWs</w:t>
      </w:r>
    </w:p>
    <w:p>
      <w:pPr>
        <w:pStyle w:val="Normal"/>
        <w:numPr>
          <w:ilvl w:val="0"/>
          <w:numId w:val="2"/>
        </w:numPr>
        <w:tabs>
          <w:tab w:val="clear" w:pos="720"/>
          <w:tab w:val="left" w:pos="-1440" w:leader="none"/>
        </w:tabs>
        <w:rPr/>
      </w:pPr>
      <w:r>
        <w:rPr/>
        <w:t>27 MWs</w:t>
        <w:tab/>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Retail Pricing Support:</w:t>
      </w:r>
      <w:r>
        <w:rPr/>
        <w:tab/>
        <w:t>Retail pricing support would be the same whether inside or outside TNMP’s traditional service territory. EPMI would itself or through its affiliates offer fixed-size retail blocks in the following increments: 50 MW, 25 MW, 10 MW, 5 MW and 1 MW. EPMI would offer both a fixed price ($/MWh) and an index price for each block, in both on-peak and off-peak periods.  EPMI would provide profile estimates by customer type and to assist in assembling blocks to best suit customer profile. Other examples might be: Load as Resource product; Green Market product for Residential users; or Index Price with Costless Collar for Industrials. Implementation mechanisms and lead time required to be determined based on specific retail pricing support needed by TNMP. When EPMI products beat the ERCOT-defined  “Price to Beat,” EPMI and TNMP would share these savings.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Power Supply and</w:t>
      </w:r>
    </w:p>
    <w:p>
      <w:pPr>
        <w:pStyle w:val="Normal"/>
        <w:tabs>
          <w:tab w:val="clear" w:pos="720"/>
          <w:tab w:val="left" w:pos="-1440" w:leader="none"/>
        </w:tabs>
        <w:ind w:hanging="2880" w:start="2880" w:end="0"/>
        <w:rPr>
          <w:b/>
        </w:rPr>
      </w:pPr>
      <w:r>
        <w:rPr>
          <w:b/>
        </w:rPr>
        <w:t>Risk Management in</w:t>
      </w:r>
    </w:p>
    <w:p>
      <w:pPr>
        <w:pStyle w:val="Normal"/>
        <w:tabs>
          <w:tab w:val="clear" w:pos="720"/>
          <w:tab w:val="left" w:pos="-1440" w:leader="none"/>
        </w:tabs>
        <w:ind w:hanging="2880" w:start="2880" w:end="0"/>
        <w:rPr/>
      </w:pPr>
      <w:r>
        <w:rPr>
          <w:b/>
        </w:rPr>
        <w:t>New Mexico:</w:t>
        <w:tab/>
        <w:tab/>
        <w:tab/>
      </w:r>
      <w:r>
        <w:rPr/>
        <w:t xml:space="preserve">EPMI would address power supply in New Mexico using the same Power Structure choices described above, including QSE-type services as defined in New Mexico’s regulations. EMPI’s Risk Management Services would also apply to New Mexico. </w:t>
      </w:r>
    </w:p>
    <w:p>
      <w:pPr>
        <w:pStyle w:val="Normal"/>
        <w:tabs>
          <w:tab w:val="clear" w:pos="720"/>
          <w:tab w:val="left" w:pos="-1440" w:leader="none"/>
        </w:tabs>
        <w:rPr/>
      </w:pPr>
      <w:r>
        <w:rPr/>
      </w:r>
    </w:p>
    <w:p>
      <w:pPr>
        <w:pStyle w:val="Header"/>
        <w:tabs>
          <w:tab w:val="clear" w:pos="4320"/>
          <w:tab w:val="clear" w:pos="8640"/>
          <w:tab w:val="left" w:pos="-1440" w:leader="none"/>
        </w:tabs>
        <w:ind w:hanging="2880" w:start="2880" w:end="0"/>
        <w:rPr>
          <w:b/>
        </w:rPr>
      </w:pPr>
      <w:r>
        <w:rPr>
          <w:b/>
        </w:rPr>
        <w:t>QSE and Ancillary</w:t>
      </w:r>
    </w:p>
    <w:p>
      <w:pPr>
        <w:pStyle w:val="Header"/>
        <w:tabs>
          <w:tab w:val="clear" w:pos="4320"/>
          <w:tab w:val="clear" w:pos="8640"/>
          <w:tab w:val="left" w:pos="-1440" w:leader="none"/>
        </w:tabs>
        <w:ind w:hanging="2880" w:start="2880" w:end="0"/>
        <w:rPr/>
      </w:pPr>
      <w:r>
        <w:rPr>
          <w:b/>
        </w:rPr>
        <w:t>Services:</w:t>
      </w:r>
      <w:r>
        <w:rPr/>
        <w:tab/>
        <w:tab/>
        <w:tab/>
        <w:t xml:space="preserve">EPMI would provide these services according to the terms and conditions outlined in the Draft Term Sheet for Qualified Scheduling Entity and Ancillary Services submitted to TNMP in November. EPMI to continue to develop and implement best strategy for ancillary services as ERCOT protocols are further clarified. The term for providing these services would be expanded to be the same as the term in this termsheet. </w:t>
      </w:r>
    </w:p>
    <w:p>
      <w:pPr>
        <w:pStyle w:val="Header"/>
        <w:tabs>
          <w:tab w:val="clear" w:pos="4320"/>
          <w:tab w:val="clear" w:pos="8640"/>
          <w:tab w:val="left" w:pos="-1440" w:leader="none"/>
        </w:tabs>
        <w:ind w:hanging="2880" w:start="2880" w:end="0"/>
        <w:rPr>
          <w:b/>
        </w:rPr>
      </w:pPr>
      <w:r>
        <w:rPr>
          <w:b/>
        </w:rPr>
      </w:r>
    </w:p>
    <w:p>
      <w:pPr>
        <w:pStyle w:val="Header"/>
        <w:tabs>
          <w:tab w:val="clear" w:pos="4320"/>
          <w:tab w:val="clear" w:pos="8640"/>
          <w:tab w:val="left" w:pos="-1440" w:leader="none"/>
        </w:tabs>
        <w:ind w:hanging="2880" w:start="2880" w:end="0"/>
        <w:rPr/>
      </w:pPr>
      <w:r>
        <w:rPr/>
        <w:tab/>
        <w:tab/>
        <w:tab/>
        <w:tab/>
        <w:t>The cost for the QSE services would be $0.00 for 2001 and would be $20,000/ month (plus an annual PPI escalator)</w:t>
      </w:r>
      <w:r>
        <w:rPr>
          <w:b/>
        </w:rPr>
        <w:t xml:space="preserve"> </w:t>
      </w:r>
      <w:r>
        <w:rPr/>
        <w:t>after 2001. The Ancillary Services charges would be a pass-through to TNMP.</w:t>
      </w:r>
    </w:p>
    <w:p>
      <w:pPr>
        <w:pStyle w:val="Header"/>
        <w:tabs>
          <w:tab w:val="clear" w:pos="4320"/>
          <w:tab w:val="clear" w:pos="8640"/>
          <w:tab w:val="left" w:pos="-1440" w:leader="none"/>
        </w:tabs>
        <w:ind w:hanging="2880" w:start="2880" w:end="0"/>
        <w:rPr>
          <w:b/>
        </w:rPr>
      </w:pPr>
      <w:r>
        <w:rPr>
          <w:b/>
        </w:rPr>
      </w:r>
    </w:p>
    <w:p>
      <w:pPr>
        <w:pStyle w:val="Header"/>
        <w:tabs>
          <w:tab w:val="clear" w:pos="4320"/>
          <w:tab w:val="clear" w:pos="8640"/>
          <w:tab w:val="left" w:pos="-1440" w:leader="none"/>
        </w:tabs>
        <w:ind w:hanging="2880" w:start="2880" w:end="0"/>
        <w:rPr/>
      </w:pPr>
      <w:r>
        <w:rPr>
          <w:b/>
          <w:color w:val="FF0000"/>
        </w:rPr>
        <w:t>QSE outside of ERCOT:</w:t>
        <w:tab/>
      </w:r>
      <w:r>
        <w:rPr>
          <w:color w:val="FF0000"/>
        </w:rPr>
        <w:t>Because regulations/protocols/guidelines in Texas but outside of ERCOT (i.e.,SPP) are subject to change, EPMI cannot fully and accurately price QSE services for this area at this time.  However, EPMI anticipates serving in a QSE-type function for any TNMP load outside of ERCOT and will price such services competitively.</w:t>
      </w:r>
    </w:p>
    <w:p>
      <w:pPr>
        <w:pStyle w:val="Normal"/>
        <w:tabs>
          <w:tab w:val="clear" w:pos="720"/>
          <w:tab w:val="left" w:pos="-1440" w:leader="none"/>
        </w:tabs>
        <w:rPr>
          <w:b/>
        </w:rPr>
      </w:pPr>
      <w:r>
        <w:rPr>
          <w:b/>
        </w:rPr>
        <w:tab/>
        <w:tab/>
        <w:tab/>
      </w:r>
    </w:p>
    <w:p>
      <w:pPr>
        <w:pStyle w:val="BodyText"/>
        <w:ind w:hanging="2880" w:start="2880" w:end="0"/>
        <w:rPr/>
      </w:pPr>
      <w:r>
        <w:rPr>
          <w:b/>
        </w:rPr>
        <w:t>Confidentiality:</w:t>
      </w:r>
      <w:r>
        <w:rPr/>
        <w:tab/>
        <w:tab/>
      </w:r>
      <w:r>
        <w:rPr>
          <w:color w:val="FF0000"/>
        </w:rPr>
        <w:t>The existence of this Draft Term Sheet and all terms and conditions contained herein are confidential between EPMI and TNMP and their duly appointed representatives and shall not be disclosed to third parties per the Confidentiality Agreement between EPMI and TNMP dated November 2, 2000.</w:t>
      </w:r>
    </w:p>
    <w:p>
      <w:pPr>
        <w:pStyle w:val="Normal"/>
        <w:tabs>
          <w:tab w:val="clear" w:pos="720"/>
          <w:tab w:val="left" w:pos="-1440" w:leader="none"/>
        </w:tabs>
        <w:ind w:hanging="2880" w:start="2880" w:end="0"/>
        <w:rPr>
          <w:color w:val="FF0000"/>
        </w:rPr>
      </w:pPr>
      <w:r>
        <w:rPr>
          <w:color w:val="FF0000"/>
        </w:rPr>
      </w:r>
    </w:p>
    <w:p>
      <w:pPr>
        <w:pStyle w:val="Normal"/>
        <w:tabs>
          <w:tab w:val="clear" w:pos="720"/>
          <w:tab w:val="left" w:pos="-1440" w:leader="none"/>
        </w:tabs>
        <w:rPr>
          <w:b/>
        </w:rPr>
      </w:pPr>
      <w:r>
        <w:rPr>
          <w:b/>
        </w:rPr>
      </w:r>
    </w:p>
    <w:p>
      <w:pPr>
        <w:pStyle w:val="Normal"/>
        <w:rPr>
          <w:b/>
          <w:sz w:val="22"/>
        </w:rPr>
      </w:pPr>
      <w:r>
        <w:rPr>
          <w:b/>
          <w:sz w:val="22"/>
        </w:rPr>
      </w:r>
    </w:p>
    <w:p>
      <w:pPr>
        <w:pStyle w:val="BodyText"/>
        <w:ind w:hanging="2880" w:start="2880" w:end="0"/>
        <w:rPr/>
      </w:pPr>
      <w:r>
        <w:rPr>
          <w:b/>
        </w:rPr>
        <w:t>Term and Conditions:</w:t>
      </w:r>
      <w:r>
        <w:rPr>
          <w:b/>
          <w:sz w:val="22"/>
        </w:rPr>
        <w:t xml:space="preserve">     </w:t>
        <w:tab/>
      </w:r>
      <w:r>
        <w:rPr>
          <w:color w:val="FF0000"/>
        </w:rPr>
        <w:t>Basic Terms and Conditions, including but not limited to, those governing events of default and remedies, dispute resolution, limitations of damages, credit, taxes, treatment of proprietary and business information, confidentiality, governing law, regulatory change, and environmental matters, would be negotiated.  In connection with the Parties’ execution of a definitive agreement, TNMP would acknowledge the absence of any partnership or other form of relationship or association creating fiduciary duties from EPMI to TNMP, and make representations relating to EPMI’s level  of responsibility under such definitive agreement in relation to EPMI’s own activities in the marketplace.</w:t>
      </w:r>
    </w:p>
    <w:p>
      <w:pPr>
        <w:pStyle w:val="Heading2"/>
        <w:tabs>
          <w:tab w:val="left" w:pos="-1440" w:leader="none"/>
          <w:tab w:val="left" w:pos="720" w:leader="none"/>
        </w:tabs>
        <w:ind w:hanging="720" w:start="720" w:end="0"/>
        <w:rPr>
          <w:b w:val="false"/>
          <w:color w:val="FF0000"/>
        </w:rPr>
      </w:pPr>
      <w:r>
        <w:rPr>
          <w:b w:val="false"/>
          <w:color w:val="FF0000"/>
        </w:rPr>
      </w:r>
    </w:p>
    <w:p>
      <w:pPr>
        <w:pStyle w:val="Normal"/>
        <w:rPr>
          <w:b/>
          <w:color w:val="FF0000"/>
          <w:sz w:val="22"/>
        </w:rPr>
      </w:pPr>
      <w:r>
        <w:rPr>
          <w:b/>
          <w:color w:val="FF0000"/>
          <w:sz w:val="22"/>
        </w:rPr>
      </w:r>
    </w:p>
    <w:p>
      <w:pPr>
        <w:pStyle w:val="BodyText2"/>
        <w:rPr>
          <w:b/>
          <w:color w:val="FF0000"/>
          <w:sz w:val="24"/>
        </w:rPr>
      </w:pPr>
      <w:r>
        <w:rPr>
          <w:b/>
          <w:color w:val="FF0000"/>
          <w:sz w:val="24"/>
        </w:rPr>
        <w:t>Not an Offer, For Discussion Purposes Only: The prices and terms of this Draft Term Sheet are subject to change until a definitive agreement is reached, if any.  This Draft Term Sheet is for discussion purposes only, to facilitate the negotiations, preparation, and execution of a definitive agreement.  This is not an offer or commitment of EPMI or any of its affiliates to enter into or negotiate any transaction.  The transaction described herein would be subject to further review and approval of the Board of Directors of EPMI and TNMP, and execution, if any, of a definitive agreement containing all appropriate provisions, including those related to events of default and remedies, dispute resolution, limitations of damages, credit, taxes, treatment of proprietary and business information, confidentiality, governing law, regulatory change, and environmental matters.  Neither party shall disclose the terms and provisions of this Draft Term Sheet to any third party.</w:t>
      </w:r>
    </w:p>
    <w:p>
      <w:pPr>
        <w:pStyle w:val="Heading4"/>
        <w:ind w:hanging="0" w:start="0" w:end="0"/>
        <w:rPr>
          <w:b/>
          <w:color w:val="FF0000"/>
          <w:sz w:val="24"/>
        </w:rPr>
      </w:pPr>
      <w:r>
        <w:rPr>
          <w:b/>
          <w:color w:val="FF0000"/>
          <w:sz w:val="24"/>
        </w:rPr>
      </w:r>
    </w:p>
    <w:p>
      <w:pPr>
        <w:pStyle w:val="Normal"/>
        <w:tabs>
          <w:tab w:val="clear" w:pos="720"/>
          <w:tab w:val="left" w:pos="-1440" w:leader="none"/>
        </w:tabs>
        <w:ind w:hanging="2880" w:start="2880" w:end="0"/>
        <w:rPr>
          <w:color w:val="FF0000"/>
          <w:sz w:val="24"/>
        </w:rPr>
      </w:pPr>
      <w:r>
        <w:rPr>
          <w:color w:val="FF0000"/>
          <w:sz w:val="24"/>
        </w:rPr>
      </w:r>
    </w:p>
    <w:p>
      <w:pPr>
        <w:pStyle w:val="Normal"/>
        <w:tabs>
          <w:tab w:val="clear" w:pos="720"/>
          <w:tab w:val="left" w:pos="-1440" w:leader="none"/>
        </w:tabs>
        <w:ind w:hanging="2880" w:start="2880" w:end="0"/>
        <w:rPr>
          <w:color w:val="FF0000"/>
        </w:rPr>
      </w:pPr>
      <w:r>
        <w:rPr>
          <w:color w:val="FF0000"/>
        </w:rPr>
      </w:r>
    </w:p>
    <w:p>
      <w:pPr>
        <w:pStyle w:val="Normal"/>
        <w:tabs>
          <w:tab w:val="clear" w:pos="720"/>
          <w:tab w:val="left" w:pos="-1440" w:leader="none"/>
        </w:tabs>
        <w:ind w:start="450" w:end="0"/>
        <w:rPr>
          <w:color w:val="FF0000"/>
        </w:rPr>
      </w:pPr>
      <w:r>
        <w:rPr>
          <w:color w:val="FF0000"/>
        </w:rPr>
      </w:r>
    </w:p>
    <w:p>
      <w:pPr>
        <w:pStyle w:val="Normal"/>
        <w:tabs>
          <w:tab w:val="clear" w:pos="720"/>
          <w:tab w:val="left" w:pos="-1440" w:leader="none"/>
        </w:tabs>
        <w:ind w:start="450" w:end="0"/>
        <w:rPr>
          <w:color w:val="FF0000"/>
        </w:rPr>
      </w:pPr>
      <w:r>
        <w:rPr>
          <w:color w:val="FF0000"/>
        </w:rPr>
      </w:r>
    </w:p>
    <w:p>
      <w:pPr>
        <w:pStyle w:val="Header"/>
        <w:tabs>
          <w:tab w:val="clear" w:pos="4320"/>
          <w:tab w:val="clear" w:pos="8640"/>
        </w:tabs>
        <w:rPr>
          <w:color w:val="FF0000"/>
        </w:rPr>
      </w:pPr>
      <w:r>
        <w:rPr>
          <w:color w:val="FF0000"/>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ab/>
      <w:t>Confidential</w:t>
    </w:r>
  </w:p>
  <w:p>
    <w:pPr>
      <w:pStyle w:val="Footer"/>
      <w:rPr/>
    </w:pPr>
    <w:r>
      <w:rPr>
        <w:i/>
        <w:sz w:val="16"/>
      </w:rPr>
      <w:tab/>
      <w:t xml:space="preserve">Page </w:t>
    </w:r>
    <w:r>
      <w:rPr>
        <w:i/>
        <w:sz w:val="16"/>
      </w:rPr>
      <w:fldChar w:fldCharType="begin"/>
    </w:r>
    <w:r>
      <w:rPr>
        <w:sz w:val="16"/>
        <w:i/>
      </w:rPr>
      <w:instrText xml:space="preserve"> PAGE </w:instrText>
    </w:r>
    <w:r>
      <w:rPr>
        <w:sz w:val="16"/>
        <w:i/>
      </w:rPr>
      <w:fldChar w:fldCharType="separate"/>
    </w:r>
    <w:r>
      <w:rPr>
        <w:sz w:val="16"/>
        <w:i/>
      </w:rPr>
      <w:t>5</w:t>
    </w:r>
    <w:r>
      <w:rPr>
        <w:sz w:val="16"/>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Proprietary and Confidential Information</w:t>
    </w:r>
  </w:p>
  <w:p>
    <w:pPr>
      <w:pStyle w:val="Header"/>
      <w:jc w:val="center"/>
      <w:rPr/>
    </w:pPr>
    <w:r>
      <w:rPr/>
      <w:t>-Not an Offer.  For Review and Discussion Purposes Only-</w:t>
    </w:r>
  </w:p>
  <w:p>
    <w:pPr>
      <w:pStyle w:val="Header"/>
      <w:jc w:val="center"/>
      <w:rPr/>
    </w:pPr>
    <w:r>
      <w:rPr/>
      <w:fldChar w:fldCharType="begin"/>
    </w:r>
    <w:r>
      <w:rPr/>
      <w:instrText xml:space="preserve"> DATE \@"MM\/dd\/yy" </w:instrText>
    </w:r>
    <w:r>
      <w:rPr/>
      <w:fldChar w:fldCharType="separate"/>
    </w:r>
    <w:r>
      <w:rPr/>
      <w:t>09/28/25</w:t>
    </w:r>
    <w:r>
      <w:rPr/>
      <w:fldChar w:fldCharType="end"/>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002"/>
      <w:numFmt w:val="decimal"/>
      <w:lvlText w:val="%1"/>
      <w:lvlJc w:val="start"/>
      <w:pPr>
        <w:tabs>
          <w:tab w:val="num" w:pos="3600"/>
        </w:tabs>
        <w:ind w:start="3600" w:hanging="720"/>
      </w:pPr>
      <w:rPr/>
    </w:lvl>
  </w:abstractNum>
  <w:abstractNum w:abstractNumId="3">
    <w:lvl w:ilvl="0">
      <w:start w:val="1"/>
      <w:numFmt w:val="decimal"/>
      <w:lvlText w:val="%1)"/>
      <w:lvlJc w:val="start"/>
      <w:pPr>
        <w:tabs>
          <w:tab w:val="num" w:pos="3240"/>
        </w:tabs>
        <w:ind w:start="324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tabs>
        <w:tab w:val="clear" w:pos="720"/>
        <w:tab w:val="left" w:pos="-1440" w:leader="none"/>
      </w:tabs>
      <w:ind w:hanging="2160" w:start="2160" w:end="0"/>
      <w:jc w:val="both"/>
      <w:outlineLvl w:val="1"/>
    </w:pPr>
    <w:rPr>
      <w:b/>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ind w:hanging="720" w:start="720" w:end="0"/>
      <w:outlineLvl w:val="3"/>
    </w:pPr>
    <w:rPr>
      <w:sz w:val="28"/>
    </w:rPr>
  </w:style>
  <w:style w:type="paragraph" w:styleId="Heading5">
    <w:name w:val="heading 5"/>
    <w:basedOn w:val="Normal"/>
    <w:next w:val="Normal"/>
    <w:qFormat/>
    <w:pPr>
      <w:keepNext w:val="true"/>
      <w:numPr>
        <w:ilvl w:val="4"/>
        <w:numId w:val="1"/>
      </w:numPr>
      <w:ind w:hanging="0" w:start="2880" w:end="0"/>
      <w:outlineLvl w:val="4"/>
    </w:pPr>
    <w:rPr>
      <w:sz w:val="28"/>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ind w:hanging="2880" w:start="2880" w:end="0"/>
      <w:outlineLvl w:val="6"/>
    </w:pPr>
    <w:rPr>
      <w:b/>
    </w:rPr>
  </w:style>
  <w:style w:type="paragraph" w:styleId="Heading8">
    <w:name w:val="heading 8"/>
    <w:basedOn w:val="Normal"/>
    <w:next w:val="Normal"/>
    <w:qFormat/>
    <w:pPr>
      <w:keepNext w:val="true"/>
      <w:numPr>
        <w:ilvl w:val="7"/>
        <w:numId w:val="1"/>
      </w:numPr>
      <w:ind w:hanging="2880" w:start="2880" w:end="0"/>
      <w:outlineLvl w:val="7"/>
    </w:pPr>
    <w:rPr/>
  </w:style>
  <w:style w:type="paragraph" w:styleId="Heading9">
    <w:name w:val="heading 9"/>
    <w:basedOn w:val="Normal"/>
    <w:next w:val="Normal"/>
    <w:qFormat/>
    <w:pPr>
      <w:keepNext w:val="true"/>
      <w:numPr>
        <w:ilvl w:val="8"/>
        <w:numId w:val="1"/>
      </w:numPr>
      <w:tabs>
        <w:tab w:val="clear" w:pos="720"/>
        <w:tab w:val="left" w:pos="-1440" w:leader="none"/>
      </w:tabs>
      <w:ind w:hanging="2880" w:start="2880" w:end="0"/>
      <w:outlineLvl w:val="8"/>
    </w:pPr>
    <w:rPr>
      <w:b/>
      <w:color w:val="FF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rFonts w:ascii="Times New Roman" w:hAnsi="Times New Roman" w:cs="Times New Roman"/>
      <w:b w:val="false"/>
      <w:i w:val="false"/>
      <w:sz w:val="24"/>
      <w:u w:val="none"/>
    </w:rPr>
  </w:style>
  <w:style w:type="character" w:styleId="WW8Num11z0">
    <w:name w:val="WW8Num11z0"/>
    <w:qFormat/>
    <w:rPr/>
  </w:style>
  <w:style w:type="character" w:styleId="WW8Num12z0">
    <w:name w:val="WW8Num12z0"/>
    <w:qFormat/>
    <w:rPr>
      <w:rFonts w:ascii="Times New Roman" w:hAnsi="Times New Roman" w:cs="Times New Roman"/>
      <w:b w:val="false"/>
      <w:i w:val="false"/>
      <w:sz w:val="24"/>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keepNext w:val="true"/>
      <w:keepLines/>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tabs>
        <w:tab w:val="clear" w:pos="720"/>
        <w:tab w:val="left" w:pos="-1440" w:leader="none"/>
      </w:tabs>
    </w:pPr>
    <w:rPr>
      <w:sz w:val="28"/>
    </w:rPr>
  </w:style>
  <w:style w:type="paragraph" w:styleId="BodyTextIndent">
    <w:name w:val="Body Text Indent"/>
    <w:basedOn w:val="Normal"/>
    <w:pPr>
      <w:tabs>
        <w:tab w:val="clear" w:pos="720"/>
        <w:tab w:val="left" w:pos="-1440" w:leader="none"/>
      </w:tabs>
      <w:ind w:hanging="2880" w:start="2880" w:end="0"/>
      <w:jc w:val="both"/>
    </w:pPr>
    <w:rPr>
      <w:sz w:val="28"/>
    </w:rPr>
  </w:style>
  <w:style w:type="paragraph" w:styleId="BodyTextIndent2">
    <w:name w:val="Body Text Indent 2"/>
    <w:basedOn w:val="Normal"/>
    <w:qFormat/>
    <w:pPr>
      <w:tabs>
        <w:tab w:val="clear" w:pos="720"/>
        <w:tab w:val="left" w:pos="-1440" w:leader="none"/>
      </w:tabs>
      <w:ind w:hanging="2880" w:start="5760" w:end="0"/>
    </w:pPr>
    <w:rPr>
      <w:sz w:val="28"/>
    </w:rPr>
  </w:style>
  <w:style w:type="paragraph" w:styleId="BodyTextIndent3">
    <w:name w:val="Body Text Indent 3"/>
    <w:basedOn w:val="Normal"/>
    <w:qFormat/>
    <w:pPr>
      <w:tabs>
        <w:tab w:val="clear" w:pos="720"/>
        <w:tab w:val="left" w:pos="-1440" w:leader="none"/>
      </w:tabs>
      <w:ind w:hanging="2880" w:start="5040" w:end="0"/>
    </w:pPr>
    <w:rPr>
      <w:sz w:val="2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54"/>
    </w:pPr>
    <w:rPr/>
  </w:style>
  <w:style w:type="paragraph" w:styleId="BlockText">
    <w:name w:val="Block Text"/>
    <w:basedOn w:val="Normal"/>
    <w:qFormat/>
    <w:pPr>
      <w:ind w:hanging="0" w:start="2880" w:end="54"/>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2000-12-08T14:22:00Z</dcterms:created>
  <dc:creator>Steffen Mueller.</dc:creator>
  <dc:description/>
  <dc:language>en-CA</dc:language>
  <cp:lastModifiedBy>mparks</cp:lastModifiedBy>
  <cp:lastPrinted>2000-12-08T11:43:00Z</cp:lastPrinted>
  <dcterms:modified xsi:type="dcterms:W3CDTF">2000-12-08T15:53:00Z</dcterms:modified>
  <cp:revision>29</cp:revision>
  <dc:subject/>
  <dc:title>Zion Energy Center</dc:title>
</cp:coreProperties>
</file>