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Power Marketing Alliance Agreement Between </w:t>
      </w:r>
    </w:p>
    <w:p>
      <w:pPr>
        <w:pStyle w:val="Heading6"/>
        <w:ind w:hanging="0" w:start="0"/>
        <w:rPr/>
      </w:pPr>
      <w:r>
        <w:rPr/>
        <w:t xml:space="preserve">Enron Power Marketing, Inc. and </w:t>
      </w:r>
    </w:p>
    <w:p>
      <w:pPr>
        <w:pStyle w:val="Heading6"/>
        <w:ind w:hanging="0" w:start="0"/>
        <w:rPr/>
      </w:pPr>
      <w:r>
        <w:rPr/>
        <w:t>Texas-New Mexico Power Company</w:t>
      </w:r>
    </w:p>
    <w:p>
      <w:pPr>
        <w:pStyle w:val="Normal"/>
        <w:jc w:val="center"/>
        <w:rPr>
          <w:b/>
          <w:sz w:val="32"/>
        </w:rPr>
      </w:pPr>
      <w:r>
        <w:rPr>
          <w:b/>
          <w:sz w:val="32"/>
        </w:rPr>
        <w:t>December 6, 2000</w:t>
      </w:r>
    </w:p>
    <w:p>
      <w:pPr>
        <w:pStyle w:val="Normal"/>
        <w:rPr>
          <w:b/>
          <w:sz w:val="32"/>
        </w:rPr>
      </w:pPr>
      <w:r>
        <w:rPr>
          <w:b/>
          <w:sz w:val="32"/>
        </w:rPr>
      </w:r>
    </w:p>
    <w:p>
      <w:pPr>
        <w:pStyle w:val="Normal"/>
        <w:tabs>
          <w:tab w:val="clear" w:pos="720"/>
          <w:tab w:val="left" w:pos="-1440" w:leader="none"/>
        </w:tabs>
        <w:ind w:hanging="2880" w:start="2880" w:end="0"/>
        <w:rPr/>
      </w:pPr>
      <w:r>
        <w:rPr>
          <w:b/>
        </w:rPr>
        <w:t>Parties:</w:t>
        <w:tab/>
        <w:tab/>
        <w:tab/>
      </w:r>
      <w:r>
        <w:rPr/>
        <w:t>Texas-New  Mexico Power Company ( ”TNMP”), and Enron Power Marketing, Inc. (”EPMI”)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Alliance Scope:</w:t>
      </w:r>
      <w:r>
        <w:rPr/>
        <w:tab/>
        <w:tab/>
        <w:t>To the extent TNMP’s resources are greater than TNMP’s energy requirements, EPMI to act as exclusive power marketer to optimize TNMP’s existing assets (“Assets”) beginning in 2001. Beginning in 2002,</w:t>
      </w:r>
      <w:r>
        <w:rPr>
          <w:b/>
        </w:rPr>
        <w:t xml:space="preserve"> </w:t>
      </w:r>
      <w:r>
        <w:rPr/>
        <w:t>EPMI to supply approximately 1,100 MW of incremental capacity to TNMP, as well as to provide risk management services appropriate to manage TNMP’s market exposure. EPMI also to provide QSE and Ancillary Services to TNMP beginning in 2001.</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Term:</w:t>
        <w:tab/>
        <w:tab/>
        <w:tab/>
        <w:tab/>
      </w:r>
      <w:r>
        <w:rPr/>
        <w:t>January 1, 2001 through December 31, 2006</w:t>
      </w:r>
    </w:p>
    <w:p>
      <w:pPr>
        <w:pStyle w:val="Normal"/>
        <w:tabs>
          <w:tab w:val="clear" w:pos="720"/>
          <w:tab w:val="left" w:pos="-1440" w:leader="none"/>
        </w:tabs>
        <w:ind w:hanging="2880" w:start="2880" w:end="0"/>
        <w:rPr>
          <w:b/>
        </w:rPr>
      </w:pPr>
      <w:r>
        <w:rPr>
          <w:b/>
        </w:rPr>
        <w:t>Optimization of</w:t>
      </w:r>
    </w:p>
    <w:p>
      <w:pPr>
        <w:pStyle w:val="Normal"/>
        <w:tabs>
          <w:tab w:val="clear" w:pos="720"/>
          <w:tab w:val="left" w:pos="-1440" w:leader="none"/>
        </w:tabs>
        <w:ind w:hanging="2880" w:start="2880" w:end="0"/>
        <w:rPr/>
      </w:pPr>
      <w:r>
        <w:rPr>
          <w:b/>
        </w:rPr>
        <w:t>Existing Assets:</w:t>
        <w:tab/>
        <w:tab/>
      </w:r>
      <w:r>
        <w:rPr/>
        <w:t>In 2001,</w:t>
      </w:r>
      <w:r>
        <w:rPr>
          <w:b/>
        </w:rPr>
        <w:t xml:space="preserve"> </w:t>
      </w:r>
      <w:r>
        <w:rPr/>
        <w:t xml:space="preserve">EPMI to optimize TNMP’s assets that are in excess of TNMP’s energy requirements. EMPI to remarket these MW’s under one of the two following options: </w:t>
      </w:r>
    </w:p>
    <w:p>
      <w:pPr>
        <w:pStyle w:val="Normal"/>
        <w:tabs>
          <w:tab w:val="clear" w:pos="720"/>
          <w:tab w:val="left" w:pos="-1440" w:leader="none"/>
        </w:tabs>
        <w:ind w:hanging="2880" w:start="2880" w:end="0"/>
        <w:rPr>
          <w:b/>
        </w:rPr>
      </w:pPr>
      <w:r>
        <w:rPr>
          <w:b/>
        </w:rPr>
        <w:tab/>
        <w:tab/>
        <w:tab/>
        <w:tab/>
      </w:r>
    </w:p>
    <w:p>
      <w:pPr>
        <w:pStyle w:val="Normal"/>
        <w:numPr>
          <w:ilvl w:val="0"/>
          <w:numId w:val="3"/>
        </w:numPr>
        <w:tabs>
          <w:tab w:val="clear" w:pos="720"/>
          <w:tab w:val="left" w:pos="-1440" w:leader="none"/>
        </w:tabs>
        <w:rPr/>
      </w:pPr>
      <w:r>
        <w:rPr/>
        <w:t>If EPMI sells MW’s at a price that is greater than an agreed-to Market-Based Heat Rate Strike Price, then EPMI participates in optimization profit sharing with TNMP at an 80/20 sharing ratio (TNMP/EMPI). If EPMI sells MW’s at a price that is equal to or below the Heat Rate Strike Price, TNMP pays EPMI a remarket fee of an agreed-to Index less 10 cents.</w:t>
      </w:r>
    </w:p>
    <w:p>
      <w:pPr>
        <w:pStyle w:val="Normal"/>
        <w:tabs>
          <w:tab w:val="clear" w:pos="720"/>
          <w:tab w:val="left" w:pos="-1440" w:leader="none"/>
        </w:tabs>
        <w:ind w:start="2880" w:end="0"/>
        <w:rPr>
          <w:b/>
        </w:rPr>
      </w:pPr>
      <w:r>
        <w:rPr>
          <w:b/>
        </w:rPr>
      </w:r>
    </w:p>
    <w:p>
      <w:pPr>
        <w:pStyle w:val="Normal"/>
        <w:tabs>
          <w:tab w:val="clear" w:pos="720"/>
          <w:tab w:val="left" w:pos="-1440" w:leader="none"/>
        </w:tabs>
        <w:ind w:start="2880" w:end="0"/>
        <w:rPr>
          <w:b/>
          <w:color w:val="0000FF"/>
        </w:rPr>
      </w:pPr>
      <w:r>
        <w:rPr/>
        <w:t>2)</w:t>
      </w:r>
      <w:r>
        <w:rPr>
          <w:b/>
        </w:rPr>
        <w:t xml:space="preserve">   </w:t>
      </w:r>
      <w:r>
        <w:rPr/>
        <w:t>EMPI remarkets MW’s at an agreed-to Index less 10 cents.</w:t>
      </w:r>
      <w:r>
        <w:rPr>
          <w:color w:val="0000FF"/>
        </w:rPr>
        <w:t xml:space="preserve"> </w:t>
      </w:r>
    </w:p>
    <w:p>
      <w:pPr>
        <w:pStyle w:val="Normal"/>
        <w:tabs>
          <w:tab w:val="clear" w:pos="720"/>
          <w:tab w:val="left" w:pos="-1440" w:leader="none"/>
        </w:tabs>
        <w:ind w:hanging="2880" w:start="2880" w:end="0"/>
        <w:rPr>
          <w:b/>
          <w:color w:val="0000FF"/>
        </w:rPr>
      </w:pPr>
      <w:r>
        <w:rPr>
          <w:b/>
          <w:color w:val="0000FF"/>
        </w:rPr>
      </w:r>
    </w:p>
    <w:p>
      <w:pPr>
        <w:pStyle w:val="Header"/>
        <w:tabs>
          <w:tab w:val="clear" w:pos="4320"/>
          <w:tab w:val="clear" w:pos="8640"/>
          <w:tab w:val="left" w:pos="-1440" w:leader="none"/>
        </w:tabs>
        <w:rPr>
          <w:color w:val="0000FF"/>
        </w:rPr>
      </w:pPr>
      <w:r>
        <w:rPr>
          <w:color w:val="0000FF"/>
        </w:rPr>
      </w:r>
    </w:p>
    <w:p>
      <w:pPr>
        <w:pStyle w:val="Normal"/>
        <w:tabs>
          <w:tab w:val="clear" w:pos="720"/>
          <w:tab w:val="left" w:pos="-1440" w:leader="none"/>
        </w:tabs>
        <w:ind w:hanging="2880" w:start="2880" w:end="0"/>
        <w:rPr/>
      </w:pPr>
      <w:r>
        <w:rPr>
          <w:b/>
        </w:rPr>
        <w:t>TNMP’s Load Growth:</w:t>
        <w:tab/>
      </w:r>
      <w:r>
        <w:rPr/>
        <w:t>TNMP’s peak and/or off-peak load growth, both inside and outside TNMP’s traditional service territory, to be agreed upon. Baseline in 2002 is expected to be 1,100 MW’s.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Power</w:t>
      </w:r>
      <w:r>
        <w:rPr>
          <w:b/>
          <w:color w:val="0000FF"/>
        </w:rPr>
        <w:t xml:space="preserve"> Supply Stuctures:</w:t>
        <w:tab/>
      </w:r>
      <w:r>
        <w:rPr>
          <w:color w:val="0000FF"/>
        </w:rPr>
        <w:t>EPMI to offer four structures from which TNMP can choose depending on the degree of price risk exposure and load flexibility TNMP desires.</w:t>
      </w:r>
    </w:p>
    <w:p>
      <w:pPr>
        <w:pStyle w:val="Normal"/>
        <w:tabs>
          <w:tab w:val="clear" w:pos="720"/>
          <w:tab w:val="left" w:pos="-1440" w:leader="none"/>
        </w:tabs>
        <w:ind w:hanging="2880" w:start="2880" w:end="0"/>
        <w:rPr>
          <w:b/>
          <w:color w:val="0000FF"/>
        </w:rPr>
      </w:pPr>
      <w:r>
        <w:rPr>
          <w:b/>
          <w:color w:val="0000FF"/>
        </w:rPr>
      </w:r>
    </w:p>
    <w:p>
      <w:pPr>
        <w:pStyle w:val="Normal"/>
        <w:tabs>
          <w:tab w:val="clear" w:pos="720"/>
          <w:tab w:val="left" w:pos="-1440" w:leader="none"/>
        </w:tabs>
        <w:ind w:hanging="2880" w:start="2880" w:end="0"/>
        <w:rPr>
          <w:b/>
          <w:color w:val="0000FF"/>
        </w:rPr>
      </w:pPr>
      <w:r>
        <w:rPr>
          <w:b/>
          <w:color w:val="0000FF"/>
        </w:rPr>
      </w:r>
    </w:p>
    <w:p>
      <w:pPr>
        <w:pStyle w:val="Normal"/>
        <w:tabs>
          <w:tab w:val="clear" w:pos="720"/>
          <w:tab w:val="left" w:pos="-1440" w:leader="none"/>
        </w:tabs>
        <w:ind w:hanging="2880" w:start="2880" w:end="0"/>
        <w:rPr>
          <w:b/>
        </w:rPr>
      </w:pPr>
      <w:r>
        <w:rPr>
          <w:b/>
          <w:color w:val="0000FF"/>
        </w:rPr>
        <w:t>1</w:t>
      </w:r>
      <w:r>
        <w:rPr>
          <w:b/>
        </w:rPr>
        <w:t>: Index</w:t>
        <w:tab/>
        <w:tab/>
        <w:tab/>
      </w:r>
      <w:r>
        <w:rPr/>
        <w:t xml:space="preserve">EPMI to supply TNMP at TNMP’s </w:t>
      </w:r>
      <w:r>
        <w:rPr>
          <w:b/>
        </w:rPr>
        <w:t>[PEAK AND OFF-PEAK?]</w:t>
      </w:r>
      <w:r>
        <w:rPr/>
        <w:t xml:space="preserve"> Load Growth curve at Index pricing. (Index to be agreed upon)  </w:t>
      </w:r>
    </w:p>
    <w:p>
      <w:pPr>
        <w:pStyle w:val="Normal"/>
        <w:ind w:hanging="2880" w:start="2880" w:end="0"/>
        <w:rPr>
          <w:b/>
          <w:color w:val="0000FF"/>
        </w:rPr>
      </w:pPr>
      <w:r>
        <w:rPr>
          <w:b/>
          <w:color w:val="0000FF"/>
        </w:rPr>
        <w:t>2</w:t>
      </w:r>
      <w:r>
        <w:rPr>
          <w:color w:val="0000FF"/>
        </w:rPr>
        <w:t xml:space="preserve">: </w:t>
      </w:r>
      <w:r>
        <w:rPr>
          <w:b/>
          <w:color w:val="0000FF"/>
        </w:rPr>
        <w:t>Fixed + Index:</w:t>
      </w:r>
      <w:r>
        <w:rPr/>
        <w:tab/>
        <w:tab/>
        <w:t>EPMI to supply TNMP’s at TNMP’s Load Growth curve with a combination of Fixed</w:t>
      </w:r>
      <w:r>
        <w:rPr>
          <w:b/>
        </w:rPr>
        <w:t xml:space="preserve"> </w:t>
      </w:r>
      <w:r>
        <w:rPr/>
        <w:t>and Index</w:t>
      </w:r>
      <w:r>
        <w:rPr>
          <w:b/>
        </w:rPr>
        <w:t xml:space="preserve"> </w:t>
      </w:r>
      <w:r>
        <w:rPr/>
        <w:t>pricing.  EPMI to supply a minimum portion of TNMP’s Load Growth curve at a Fixed price, allowing TNMP to hedge a portion of its Load Growth against price risk. EPMI to supply the remaining load at an Index price.</w:t>
      </w:r>
    </w:p>
    <w:p>
      <w:pPr>
        <w:pStyle w:val="Normal"/>
        <w:rPr>
          <w:b/>
          <w:color w:val="0000FF"/>
        </w:rPr>
      </w:pPr>
      <w:r>
        <w:rPr>
          <w:b/>
          <w:color w:val="0000FF"/>
        </w:rPr>
      </w:r>
    </w:p>
    <w:p>
      <w:pPr>
        <w:pStyle w:val="Normal"/>
        <w:tabs>
          <w:tab w:val="clear" w:pos="720"/>
          <w:tab w:val="left" w:pos="-1440" w:leader="none"/>
        </w:tabs>
        <w:ind w:hanging="2880" w:start="2880" w:end="0"/>
        <w:rPr/>
      </w:pPr>
      <w:r>
        <w:rPr>
          <w:b/>
        </w:rPr>
        <w:t>3: Fixed + Remarketing:</w:t>
        <w:tab/>
      </w:r>
      <w:r>
        <w:rPr>
          <w:color w:val="0000FF"/>
        </w:rPr>
        <w:t>EPMI to supply a TNMP at TNMP’s Load Growth curve at a Fixed</w:t>
      </w:r>
      <w:r>
        <w:rPr>
          <w:b/>
          <w:color w:val="0000FF"/>
        </w:rPr>
        <w:t xml:space="preserve"> </w:t>
      </w:r>
      <w:r>
        <w:rPr>
          <w:color w:val="0000FF"/>
        </w:rPr>
        <w:t>price.  To the extent the actual Load Growth curve deviates from the agreed-to Load Growth curve, EPMI to remarket energy for TNMP at Index +/- 10 cents, depending whether TNMP is buying or selling.</w:t>
      </w:r>
    </w:p>
    <w:p>
      <w:pPr>
        <w:pStyle w:val="Normal"/>
        <w:rPr/>
      </w:pPr>
      <w:r>
        <w:rPr/>
      </w:r>
    </w:p>
    <w:p>
      <w:pPr>
        <w:pStyle w:val="Normal"/>
        <w:tabs>
          <w:tab w:val="clear" w:pos="720"/>
          <w:tab w:val="left" w:pos="-1440" w:leader="none"/>
        </w:tabs>
        <w:ind w:hanging="2880" w:start="2880" w:end="0"/>
        <w:rPr/>
      </w:pPr>
      <w:r>
        <w:rPr>
          <w:b/>
        </w:rPr>
        <w:t>4: Bandwidth:</w:t>
        <w:tab/>
        <w:tab/>
      </w:r>
      <w:r>
        <w:rPr/>
        <w:t>EPMI to supply TNMP’s Load Growth curve, plus or minus 10% load fluctuation, at a fixed price. EPMI to assume price risk for fluctuations within this 10% band. If Load Growth curve increases or decreases beyond 10%, TNMP, at its election, would buy</w:t>
      </w:r>
      <w:r>
        <w:rPr>
          <w:color w:val="0000FF"/>
        </w:rPr>
        <w:t>/sell</w:t>
      </w:r>
      <w:r>
        <w:rPr/>
        <w:t xml:space="preserve"> incremental power at one of the following prices: an Enron quoted price, an Enron Online price or a TNMP 3</w:t>
      </w:r>
      <w:r>
        <w:rPr>
          <w:vertAlign w:val="superscript"/>
        </w:rPr>
        <w:t>rd</w:t>
      </w:r>
      <w:r>
        <w:rPr/>
        <w:t xml:space="preserve"> party supplier price(provided power is scheduled through EPMI QSE). If TNMP did not elect one of these prices, then the original pricing structure would continue to apply.</w:t>
      </w:r>
    </w:p>
    <w:p>
      <w:pPr>
        <w:pStyle w:val="Normal"/>
        <w:tabs>
          <w:tab w:val="clear" w:pos="720"/>
          <w:tab w:val="left" w:pos="-1440" w:leader="none"/>
        </w:tabs>
        <w:ind w:hanging="2880" w:start="2880" w:end="0"/>
        <w:rPr>
          <w:b/>
        </w:rPr>
      </w:pPr>
      <w:r>
        <w:rPr>
          <w:b/>
        </w:rPr>
      </w:r>
    </w:p>
    <w:p>
      <w:pPr>
        <w:pStyle w:val="Heading7"/>
        <w:tabs>
          <w:tab w:val="clear" w:pos="720"/>
          <w:tab w:val="left" w:pos="-1440" w:leader="none"/>
        </w:tabs>
        <w:rPr/>
      </w:pPr>
      <w:r>
        <w:rPr/>
        <w:t xml:space="preserve">Power Risk </w:t>
      </w:r>
    </w:p>
    <w:p>
      <w:pPr>
        <w:pStyle w:val="Normal"/>
        <w:tabs>
          <w:tab w:val="clear" w:pos="720"/>
          <w:tab w:val="left" w:pos="-1440" w:leader="none"/>
        </w:tabs>
        <w:ind w:hanging="2880" w:start="2880" w:end="0"/>
        <w:rPr>
          <w:color w:val="0000FF"/>
        </w:rPr>
      </w:pPr>
      <w:r>
        <w:rPr>
          <w:b/>
        </w:rPr>
        <w:t>Management:</w:t>
      </w:r>
      <w:r>
        <w:rPr/>
        <w:tab/>
        <w:tab/>
        <w:tab/>
      </w:r>
      <w:r>
        <w:rPr>
          <w:color w:val="FF0000"/>
          <w:u w:val="single"/>
        </w:rPr>
        <w:t xml:space="preserve">EPMI  to discuss daily with TNMP additional appropriate risk management tools-- including swaps, forwards, and options –allowing TNMP to hedge against price risk associated with Structures 1-4 (most applicable to Structures 1 and 2) and allowing TNMP to enhance its future commodity position. </w:t>
      </w:r>
    </w:p>
    <w:p>
      <w:pPr>
        <w:pStyle w:val="Normal"/>
        <w:tabs>
          <w:tab w:val="clear" w:pos="720"/>
          <w:tab w:val="left" w:pos="-1440" w:leader="none"/>
        </w:tabs>
        <w:ind w:hanging="2880" w:start="2880" w:end="0"/>
        <w:rPr>
          <w:color w:val="FF0000"/>
        </w:rPr>
      </w:pPr>
      <w:r>
        <w:rPr/>
        <w:tab/>
        <w:tab/>
        <w:tab/>
        <w:tab/>
      </w:r>
      <w:r>
        <w:rPr>
          <w:b/>
        </w:rPr>
        <w:tab/>
        <w:tab/>
        <w:tab/>
        <w:tab/>
      </w:r>
    </w:p>
    <w:p>
      <w:pPr>
        <w:pStyle w:val="Normal"/>
        <w:tabs>
          <w:tab w:val="clear" w:pos="720"/>
          <w:tab w:val="left" w:pos="-1440" w:leader="none"/>
        </w:tabs>
        <w:ind w:hanging="2880" w:start="2880" w:end="0"/>
        <w:rPr>
          <w:color w:val="FF0000"/>
        </w:rPr>
      </w:pPr>
      <w:r>
        <w:rPr>
          <w:color w:val="FF0000"/>
        </w:rPr>
      </w:r>
    </w:p>
    <w:p>
      <w:pPr>
        <w:pStyle w:val="Normal"/>
        <w:tabs>
          <w:tab w:val="clear" w:pos="720"/>
          <w:tab w:val="left" w:pos="-1440" w:leader="none"/>
        </w:tabs>
        <w:ind w:hanging="2880" w:start="2880" w:end="0"/>
        <w:rPr/>
      </w:pPr>
      <w:r>
        <w:rPr>
          <w:b/>
        </w:rPr>
        <w:t>Gas Risk Management:</w:t>
        <w:tab/>
      </w:r>
      <w:r>
        <w:rPr>
          <w:color w:val="0000FF"/>
        </w:rPr>
        <w:t>EPMI to provide similar appropriate risk management tools for gas.</w:t>
      </w:r>
      <w:r>
        <w:rPr>
          <w:color w:val="FF0000"/>
        </w:rPr>
        <w:t xml:space="preserve"> TNMP can discuss daily with EPMI gas desk.</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r>
    </w:p>
    <w:p>
      <w:pPr>
        <w:pStyle w:val="Heading7"/>
        <w:tabs>
          <w:tab w:val="clear" w:pos="720"/>
          <w:tab w:val="left" w:pos="-1440" w:leader="none"/>
        </w:tabs>
        <w:rPr/>
      </w:pPr>
      <w:r>
        <w:rPr/>
        <w:t xml:space="preserve">Renewable Energy </w:t>
      </w:r>
    </w:p>
    <w:p>
      <w:pPr>
        <w:pStyle w:val="Normal"/>
        <w:tabs>
          <w:tab w:val="clear" w:pos="720"/>
          <w:tab w:val="left" w:pos="-1440" w:leader="none"/>
        </w:tabs>
        <w:ind w:hanging="2880" w:start="2880" w:end="0"/>
        <w:rPr>
          <w:b/>
        </w:rPr>
      </w:pPr>
      <w:r>
        <w:rPr>
          <w:b/>
        </w:rPr>
        <w:t>Credits:</w:t>
      </w:r>
      <w:r>
        <w:rPr/>
        <w:tab/>
        <w:tab/>
        <w:tab/>
        <w:t>EPMI to provide all of TNMP’s Renewable Energy Credits(“REC”) at a fixed price of $35/MW (As of 12/11/00. Pricing subject to market rates at time of deal execution).</w:t>
      </w:r>
      <w:r>
        <w:rPr>
          <w:color w:val="0000FF"/>
        </w:rPr>
        <w:t xml:space="preserve"> Green Power and REC’s are expected to be provided from renewable wind power.</w:t>
      </w:r>
      <w:r>
        <w:rPr>
          <w:color w:val="FF0000"/>
        </w:rPr>
        <w:t xml:space="preserve">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Retail Pricing Support:</w:t>
      </w:r>
      <w:r>
        <w:rPr/>
        <w:tab/>
        <w:t>Retail pricing support to be the same whether inside or outside TNMP’s traditional service territory. EPMI to offer fixed-size retail blocks in the following increments: 50 MW, 25 MW, 10 MW, 5 MW and 1 MW. EPMI to offer both a fixed price ($/MWh) and an index price for each block, in both on-peak and off-peak periods.  EPMI to provide profile estimates by customer type and to assist in assembling blocks to best suit customer profile. Other examples might be: Load as Resource product; Green Market product for Residential users; or Index Price with Costless Collar for Industrials.. Implementation mechanisms and lead time required to be determined based on specific retail pricing support needed by TNMP.</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r>
      <w:r>
        <w:rPr>
          <w:b/>
        </w:rPr>
        <w:t xml:space="preserve">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Power Supply and</w:t>
      </w:r>
    </w:p>
    <w:p>
      <w:pPr>
        <w:pStyle w:val="Normal"/>
        <w:tabs>
          <w:tab w:val="clear" w:pos="720"/>
          <w:tab w:val="left" w:pos="-1440" w:leader="none"/>
        </w:tabs>
        <w:ind w:hanging="2880" w:start="2880" w:end="0"/>
        <w:rPr>
          <w:b/>
        </w:rPr>
      </w:pPr>
      <w:r>
        <w:rPr>
          <w:b/>
        </w:rPr>
        <w:t>Risk Management in</w:t>
      </w:r>
    </w:p>
    <w:p>
      <w:pPr>
        <w:pStyle w:val="Normal"/>
        <w:tabs>
          <w:tab w:val="clear" w:pos="720"/>
          <w:tab w:val="left" w:pos="-1440" w:leader="none"/>
        </w:tabs>
        <w:ind w:hanging="2880" w:start="2880" w:end="0"/>
        <w:rPr/>
      </w:pPr>
      <w:r>
        <w:rPr>
          <w:b/>
        </w:rPr>
        <w:t>New Mexico:</w:t>
        <w:tab/>
        <w:tab/>
        <w:tab/>
      </w:r>
      <w:r>
        <w:rPr/>
        <w:t xml:space="preserve">EPMI to address power supply in New Mexico using the same Power Structure choices described above including QSE Service by EPMI for TNMP. Risk Management Services to also apply to New Mexico. </w:t>
      </w:r>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r>
    </w:p>
    <w:p>
      <w:pPr>
        <w:pStyle w:val="Header"/>
        <w:tabs>
          <w:tab w:val="clear" w:pos="4320"/>
          <w:tab w:val="clear" w:pos="8640"/>
          <w:tab w:val="left" w:pos="-1440" w:leader="none"/>
        </w:tabs>
        <w:ind w:hanging="2880" w:start="2880" w:end="0"/>
        <w:rPr>
          <w:b/>
        </w:rPr>
      </w:pPr>
      <w:r>
        <w:rPr>
          <w:b/>
        </w:rPr>
        <w:t>QSE and Ancillary</w:t>
      </w:r>
    </w:p>
    <w:p>
      <w:pPr>
        <w:pStyle w:val="Header"/>
        <w:tabs>
          <w:tab w:val="clear" w:pos="4320"/>
          <w:tab w:val="clear" w:pos="8640"/>
          <w:tab w:val="left" w:pos="-1440" w:leader="none"/>
        </w:tabs>
        <w:ind w:hanging="2880" w:start="2880" w:end="0"/>
        <w:rPr/>
      </w:pPr>
      <w:r>
        <w:rPr>
          <w:b/>
        </w:rPr>
        <w:t>Services:</w:t>
      </w:r>
      <w:r>
        <w:rPr/>
        <w:tab/>
        <w:tab/>
        <w:tab/>
        <w:t>EPMI would provide these services according to the terms and conditions outlined in the Draft Term Sheet for Qualified Scheduling Entity and Ancillary Services submitted to TNMP in November. EPMI to continue to develop and implement best strategy for ancillary services as ERCOT protocols are further clarified. The term for providing these services would be expanded to be the same as the term in this termsheet. The cost for the QSE services to be $0.00 for 2001 and to be $20,000/ month</w:t>
      </w:r>
      <w:r>
        <w:rPr>
          <w:b/>
        </w:rPr>
        <w:t xml:space="preserve"> </w:t>
      </w:r>
      <w:r>
        <w:rPr/>
        <w:t>after 2001. The Ancillary Services charges to be a pass-through to TNMP.</w:t>
      </w:r>
    </w:p>
    <w:p>
      <w:pPr>
        <w:pStyle w:val="Header"/>
        <w:tabs>
          <w:tab w:val="clear" w:pos="4320"/>
          <w:tab w:val="clear" w:pos="8640"/>
          <w:tab w:val="left" w:pos="-1440" w:leader="none"/>
        </w:tabs>
        <w:ind w:hanging="2880" w:start="2880" w:end="0"/>
        <w:rPr>
          <w:b/>
        </w:rPr>
      </w:pPr>
      <w:r>
        <w:rPr>
          <w:b/>
        </w:rPr>
      </w:r>
    </w:p>
    <w:p>
      <w:pPr>
        <w:pStyle w:val="Header"/>
        <w:tabs>
          <w:tab w:val="clear" w:pos="4320"/>
          <w:tab w:val="clear" w:pos="8640"/>
          <w:tab w:val="left" w:pos="-1440" w:leader="none"/>
        </w:tabs>
        <w:ind w:hanging="2880" w:start="2880" w:end="0"/>
        <w:rPr>
          <w:b/>
        </w:rPr>
      </w:pPr>
      <w:r>
        <w:rPr>
          <w:b/>
        </w:rPr>
      </w:r>
    </w:p>
    <w:p>
      <w:pPr>
        <w:pStyle w:val="Header"/>
        <w:tabs>
          <w:tab w:val="clear" w:pos="4320"/>
          <w:tab w:val="clear" w:pos="8640"/>
          <w:tab w:val="left" w:pos="-1440" w:leader="none"/>
        </w:tabs>
        <w:ind w:hanging="2880" w:start="2880" w:end="0"/>
        <w:rPr/>
      </w:pPr>
      <w:r>
        <w:rPr>
          <w:b/>
          <w:color w:val="FF0000"/>
        </w:rPr>
        <w:t>QSE outside of ERCOT:</w:t>
        <w:tab/>
      </w:r>
      <w:r>
        <w:rPr>
          <w:color w:val="FF0000"/>
        </w:rPr>
        <w:t>Because the protocols outside of ERCOT (i.e.,SPP) are subject to change, EPMI cannot fully and accurately price QSE services outside of ERCOT.  However, EPMI anticipates serving as QSE for any TNMP load outside of ERCOT and will price such services competitively.</w:t>
      </w:r>
    </w:p>
    <w:p>
      <w:pPr>
        <w:pStyle w:val="Normal"/>
        <w:tabs>
          <w:tab w:val="clear" w:pos="720"/>
          <w:tab w:val="left" w:pos="-1440" w:leader="none"/>
        </w:tabs>
        <w:rPr>
          <w:b/>
        </w:rPr>
      </w:pPr>
      <w:r>
        <w:rPr>
          <w:b/>
        </w:rPr>
        <w:tab/>
        <w:tab/>
        <w:tab/>
      </w:r>
    </w:p>
    <w:p>
      <w:pPr>
        <w:pStyle w:val="Normal"/>
        <w:tabs>
          <w:tab w:val="clear" w:pos="720"/>
          <w:tab w:val="left" w:pos="-1440" w:leader="none"/>
        </w:tabs>
        <w:ind w:hanging="2880" w:start="2880" w:end="0"/>
        <w:rPr/>
      </w:pPr>
      <w:r>
        <w:rPr>
          <w:b/>
        </w:rPr>
        <w:t>Confidentiality:</w:t>
      </w:r>
      <w:r>
        <w:rPr/>
        <w:tab/>
        <w:tab/>
        <w:t>All parties agree to keep all information relative to this term sheet confidential except for such disclosure as may be necessary to prospective partners, investors, affiliates, lenders and consultants for the purpose of evaluating this proposal.</w:t>
      </w:r>
    </w:p>
    <w:p>
      <w:pPr>
        <w:pStyle w:val="Normal"/>
        <w:tabs>
          <w:tab w:val="clear" w:pos="720"/>
          <w:tab w:val="left" w:pos="-1440" w:leader="none"/>
        </w:tabs>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BodyText"/>
        <w:rPr/>
      </w:pPr>
      <w:r>
        <w:rPr>
          <w:b/>
          <w:i/>
          <w:sz w:val="18"/>
        </w:rPr>
        <w:t>This proposal is a basis for continued discussions and is not an offer or commitment to consummate the transaction described.  This proposal does not create nor is it intended to create a binding and enforceable contract or commitment between EPMI and TNMP.  The closing of this transaction is subject to further due diligence, the negotiation of definitive terms, the approval of senior management and execution of mutually acceptable documentation</w:t>
      </w:r>
      <w:r>
        <w:rPr>
          <w:i/>
          <w:sz w:val="18"/>
        </w:rPr>
        <w:t>.</w:t>
      </w:r>
    </w:p>
    <w:p>
      <w:pPr>
        <w:pStyle w:val="Normal"/>
        <w:tabs>
          <w:tab w:val="clear" w:pos="720"/>
          <w:tab w:val="left" w:pos="-1440" w:leader="none"/>
        </w:tabs>
        <w:ind w:start="450" w:end="0"/>
        <w:rPr>
          <w:b/>
          <w:i/>
          <w:i/>
          <w:sz w:val="18"/>
        </w:rPr>
      </w:pPr>
      <w:r>
        <w:rPr>
          <w:b/>
          <w:i/>
          <w:sz w:val="18"/>
        </w:rPr>
      </w:r>
    </w:p>
    <w:p>
      <w:pPr>
        <w:pStyle w:val="Normal"/>
        <w:tabs>
          <w:tab w:val="clear" w:pos="720"/>
          <w:tab w:val="left" w:pos="-1440" w:leader="none"/>
        </w:tabs>
        <w:ind w:start="450" w:end="0"/>
        <w:rPr>
          <w:b/>
        </w:rPr>
      </w:pPr>
      <w:r>
        <w:rPr>
          <w:b/>
        </w:rPr>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4</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2"/>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decimal"/>
      <w:lvlText w:val="%1)"/>
      <w:lvlJc w:val="start"/>
      <w:pPr>
        <w:tabs>
          <w:tab w:val="num" w:pos="3240"/>
        </w:tabs>
        <w:ind w:start="324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paragraph" w:styleId="Heading9">
    <w:name w:val="heading 9"/>
    <w:basedOn w:val="Normal"/>
    <w:next w:val="Normal"/>
    <w:qFormat/>
    <w:pPr>
      <w:keepNext w:val="true"/>
      <w:numPr>
        <w:ilvl w:val="8"/>
        <w:numId w:val="1"/>
      </w:numPr>
      <w:tabs>
        <w:tab w:val="clear" w:pos="720"/>
        <w:tab w:val="left" w:pos="-1440" w:leader="none"/>
      </w:tabs>
      <w:ind w:hanging="2880" w:start="2880" w:end="0"/>
      <w:outlineLvl w:val="8"/>
    </w:pPr>
    <w:rPr>
      <w:b/>
      <w:color w:val="FF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2000-12-07T00:30:00Z</dcterms:created>
  <dc:creator>Steffen Mueller.</dc:creator>
  <dc:description/>
  <dc:language>en-CA</dc:language>
  <cp:lastModifiedBy>mparks</cp:lastModifiedBy>
  <cp:lastPrinted>2000-12-06T11:52:00Z</cp:lastPrinted>
  <dcterms:modified xsi:type="dcterms:W3CDTF">2000-12-07T00:30:00Z</dcterms:modified>
  <cp:revision>2</cp:revision>
  <dc:subject/>
  <dc:title>Zion Energy Center</dc:title>
</cp:coreProperties>
</file>