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sz w:val="28"/>
        </w:rPr>
      </w:pPr>
      <w:r>
        <w:rPr>
          <w:b/>
          <w:sz w:val="28"/>
        </w:rPr>
      </w:r>
    </w:p>
    <w:p>
      <w:pPr>
        <w:pStyle w:val="Normal"/>
        <w:bidi w:val="0"/>
        <w:jc w:val="center"/>
        <w:rPr>
          <w:b/>
          <w:sz w:val="28"/>
        </w:rPr>
      </w:pPr>
      <w:r>
        <w:rPr>
          <w:b/>
          <w:sz w:val="28"/>
        </w:rPr>
        <w:t>THOMAS</w:t>
      </w:r>
      <w:r>
        <w:rPr>
          <w:b/>
          <w:sz w:val="32"/>
        </w:rPr>
        <w:t xml:space="preserve"> </w:t>
      </w:r>
      <w:r>
        <w:rPr>
          <w:b/>
          <w:sz w:val="28"/>
        </w:rPr>
        <w:t>M.</w:t>
      </w:r>
      <w:r>
        <w:rPr>
          <w:b/>
          <w:sz w:val="32"/>
        </w:rPr>
        <w:t xml:space="preserve"> </w:t>
      </w:r>
      <w:r>
        <w:rPr>
          <w:b/>
          <w:sz w:val="28"/>
        </w:rPr>
        <w:t>SUFFIELD</w:t>
      </w:r>
    </w:p>
    <w:p>
      <w:pPr>
        <w:pStyle w:val="Normal"/>
        <w:bidi w:val="0"/>
        <w:jc w:val="start"/>
        <w:rPr>
          <w:b/>
          <w:sz w:val="28"/>
        </w:rPr>
      </w:pPr>
      <w:r>
        <w:rPr>
          <w:b/>
          <w:sz w:val="28"/>
        </w:rPr>
      </w:r>
    </w:p>
    <w:p>
      <w:pPr>
        <w:pStyle w:val="Normal"/>
        <w:bidi w:val="0"/>
        <w:jc w:val="center"/>
        <w:rPr>
          <w:b/>
          <w:i/>
          <w:i/>
          <w:u w:val="single"/>
        </w:rPr>
      </w:pPr>
      <w:r>
        <w:rPr>
          <w:b/>
          <w:i/>
          <w:u w:val="single"/>
        </w:rPr>
        <w:t>Biography</w:t>
      </w:r>
    </w:p>
    <w:p>
      <w:pPr>
        <w:pStyle w:val="Normal"/>
        <w:bidi w:val="0"/>
        <w:ind w:firstLine="720"/>
        <w:jc w:val="start"/>
        <w:rPr>
          <w:b/>
          <w:i/>
          <w:i/>
          <w:u w:val="single"/>
        </w:rPr>
      </w:pPr>
      <w:r>
        <w:rPr>
          <w:b/>
          <w:i/>
          <w:u w:val="single"/>
        </w:rPr>
      </w:r>
    </w:p>
    <w:p>
      <w:pPr>
        <w:pStyle w:val="Normal"/>
        <w:widowControl w:val="false"/>
        <w:suppressAutoHyphens w:val="true"/>
        <w:bidi w:val="0"/>
        <w:jc w:val="start"/>
        <w:rPr/>
      </w:pPr>
      <w:r>
        <w:rPr>
          <w:u w:val="single"/>
        </w:rPr>
        <w:t>Business</w:t>
      </w:r>
      <w:r>
        <w:rPr/>
        <w:tab/>
        <w:tab/>
        <w:tab/>
        <w:tab/>
        <w:tab/>
        <w:tab/>
        <w:tab/>
        <w:tab/>
        <w:tab/>
      </w:r>
      <w:r>
        <w:rPr>
          <w:u w:val="single"/>
        </w:rPr>
        <w:t>Residence</w:t>
      </w:r>
    </w:p>
    <w:p>
      <w:pPr>
        <w:pStyle w:val="Normal"/>
        <w:widowControl w:val="false"/>
        <w:suppressAutoHyphens w:val="true"/>
        <w:bidi w:val="0"/>
        <w:jc w:val="start"/>
        <w:rPr/>
      </w:pPr>
      <w:r>
        <w:rPr/>
        <w:t>Enron North America</w:t>
        <w:tab/>
        <w:tab/>
        <w:tab/>
        <w:tab/>
        <w:tab/>
        <w:tab/>
        <w:tab/>
        <w:tab/>
        <w:t>426 Tecumseh Lane</w:t>
      </w:r>
    </w:p>
    <w:p>
      <w:pPr>
        <w:pStyle w:val="Normal"/>
        <w:widowControl w:val="false"/>
        <w:suppressAutoHyphens w:val="true"/>
        <w:bidi w:val="0"/>
        <w:jc w:val="start"/>
        <w:rPr/>
      </w:pPr>
      <w:r>
        <w:rPr/>
        <w:t>1400 Smith Street</w:t>
        <w:tab/>
        <w:tab/>
        <w:tab/>
        <w:tab/>
        <w:tab/>
        <w:tab/>
        <w:tab/>
        <w:tab/>
        <w:t>Houston, TX      77057</w:t>
      </w:r>
    </w:p>
    <w:p>
      <w:pPr>
        <w:pStyle w:val="Normal"/>
        <w:widowControl w:val="false"/>
        <w:suppressAutoHyphens w:val="true"/>
        <w:bidi w:val="0"/>
        <w:jc w:val="start"/>
        <w:rPr/>
      </w:pPr>
      <w:r>
        <w:rPr/>
        <w:t>Houston, TX    77002</w:t>
        <w:tab/>
        <w:tab/>
        <w:tab/>
        <w:tab/>
        <w:tab/>
        <w:tab/>
        <w:tab/>
        <w:tab/>
        <w:t>(713) 781-6699</w:t>
      </w:r>
    </w:p>
    <w:p>
      <w:pPr>
        <w:pStyle w:val="Normal"/>
        <w:widowControl w:val="false"/>
        <w:suppressAutoHyphens w:val="true"/>
        <w:bidi w:val="0"/>
        <w:jc w:val="start"/>
        <w:rPr/>
      </w:pPr>
      <w:r>
        <w:rPr/>
        <w:t>(713) 345-8286</w:t>
        <w:tab/>
        <w:tab/>
        <w:tab/>
        <w:tab/>
        <w:tab/>
        <w:tab/>
        <w:tab/>
        <w:tab/>
        <w:t xml:space="preserve"> Fax:    706-3552</w:t>
      </w:r>
    </w:p>
    <w:p>
      <w:pPr>
        <w:pStyle w:val="Normal"/>
        <w:widowControl w:val="false"/>
        <w:suppressAutoHyphens w:val="true"/>
        <w:bidi w:val="0"/>
        <w:jc w:val="start"/>
        <w:rPr/>
      </w:pPr>
      <w:r>
        <w:rPr/>
        <w:t xml:space="preserve"> </w:t>
      </w:r>
      <w:r>
        <w:rPr/>
        <w:t>Fax: 646-3037</w:t>
        <w:tab/>
        <w:tab/>
        <w:tab/>
        <w:tab/>
        <w:tab/>
        <w:tab/>
        <w:tab/>
        <w:tab/>
        <w:t xml:space="preserve"> </w:t>
      </w:r>
    </w:p>
    <w:p>
      <w:pPr>
        <w:pStyle w:val="Normal"/>
        <w:bidi w:val="0"/>
        <w:jc w:val="start"/>
        <w:rPr>
          <w:i/>
          <w:i/>
        </w:rPr>
      </w:pPr>
      <w:hyperlink r:id="rId2">
        <w:r>
          <w:rPr>
            <w:rStyle w:val="Hyperlink"/>
            <w:i/>
            <w:u w:val="none"/>
          </w:rPr>
          <w:t>thomas.suffield@enron.com</w:t>
        </w:r>
      </w:hyperlink>
    </w:p>
    <w:p>
      <w:pPr>
        <w:pStyle w:val="Normal"/>
        <w:bidi w:val="0"/>
        <w:jc w:val="start"/>
        <w:rPr>
          <w:i/>
          <w:i/>
        </w:rPr>
      </w:pPr>
      <w:r>
        <w:rPr>
          <w:i/>
        </w:rPr>
      </w:r>
    </w:p>
    <w:p>
      <w:pPr>
        <w:pStyle w:val="Normal"/>
        <w:bidi w:val="0"/>
        <w:jc w:val="start"/>
        <w:rPr>
          <w:b/>
        </w:rPr>
      </w:pPr>
      <w:r>
        <w:rPr>
          <w:b/>
        </w:rPr>
        <w:t>Achievement-Oriented Finance and Marketing Executive with extensive experience in development, acquisition and marketing of asset based projects.</w:t>
      </w:r>
    </w:p>
    <w:p>
      <w:pPr>
        <w:pStyle w:val="Normal"/>
        <w:bidi w:val="0"/>
        <w:jc w:val="start"/>
        <w:rPr>
          <w:b/>
          <w:i/>
          <w:i/>
          <w:u w:val="single"/>
        </w:rPr>
      </w:pPr>
      <w:r>
        <w:rPr>
          <w:b/>
          <w:i/>
          <w:u w:val="single"/>
        </w:rPr>
      </w:r>
    </w:p>
    <w:p>
      <w:pPr>
        <w:pStyle w:val="Normal"/>
        <w:bidi w:val="0"/>
        <w:ind w:firstLine="720"/>
        <w:jc w:val="start"/>
        <w:rPr>
          <w:b/>
        </w:rPr>
      </w:pPr>
      <w:r>
        <w:rPr>
          <w:b/>
        </w:rPr>
        <w:t>Enron North America-Commercial Transaction Group</w:t>
        <w:tab/>
        <w:tab/>
        <w:t>2000-Present</w:t>
      </w:r>
    </w:p>
    <w:p>
      <w:pPr>
        <w:pStyle w:val="Normal"/>
        <w:bidi w:val="0"/>
        <w:jc w:val="start"/>
        <w:rPr/>
      </w:pPr>
      <w:r>
        <w:rPr>
          <w:i/>
        </w:rPr>
        <w:t>Vice President-Commercial with responsibilities for commercial transaction and financial structuring support for development efforts originating within the Eastern United States and Canada.</w:t>
      </w:r>
      <w:r>
        <w:rPr/>
        <w:t xml:space="preserve">    Current projects include initiating region-wide strategies for identifying development markets, site acquisition and development strategy.    Responsibilities include deal assessment of merchant-peaker opportunities and individual power projects developed for Enron’s portfolio.      Previous responsibilities included commercial acquisition and corporate development of generation assets throughout the Eastern U.S.      Projects reviewed for acquisition included qualifying facilities with long term utility based power contracts to be restructured commensurate with deregulation.    </w:t>
      </w:r>
    </w:p>
    <w:p>
      <w:pPr>
        <w:pStyle w:val="Normal"/>
        <w:bidi w:val="0"/>
        <w:jc w:val="both"/>
        <w:rPr>
          <w:b/>
        </w:rPr>
      </w:pPr>
      <w:r>
        <w:rPr>
          <w:b/>
        </w:rPr>
      </w:r>
    </w:p>
    <w:p>
      <w:pPr>
        <w:pStyle w:val="Heading2"/>
        <w:bidi w:val="0"/>
        <w:jc w:val="start"/>
        <w:rPr>
          <w:rFonts w:ascii="Times New Roman" w:hAnsi="Times New Roman"/>
        </w:rPr>
      </w:pPr>
      <w:r>
        <w:rPr/>
        <w:t>Azurix</w:t>
        <w:tab/>
        <w:t>-An Enron Company</w:t>
        <w:tab/>
        <w:tab/>
        <w:tab/>
        <w:tab/>
        <w:tab/>
        <w:t>1999</w:t>
      </w:r>
    </w:p>
    <w:p>
      <w:pPr>
        <w:pStyle w:val="Normal"/>
        <w:bidi w:val="0"/>
        <w:jc w:val="start"/>
        <w:rPr/>
      </w:pPr>
      <w:r>
        <w:rPr>
          <w:i/>
        </w:rPr>
        <w:t>Vice President-Commercial with responsibilities for origination, acquisition and development of Municipal Water Projects in the North American Region for Azurix.    Pr</w:t>
      </w:r>
      <w:r>
        <w:rPr/>
        <w:t xml:space="preserve">ojects under development or acquisition as concessions included both bid and negotiated transactions for water and wastewater treatment of municipal water works and related services.    Responsibilities include marketing, origination, deal development, and closure through ongoing operations and management.    Deal development involved prospect assessment, project determination, economic evaluation, risk underwriting, financial structuring, due diligence review and board approval.    Water supply projects and services under consideration included:    water well and reservoir    drilling, development and production, surface water collection, transportation and treatment.    waste water treatment systems include plant construction, renovation, expansion and related services.    Previous responsibilities included Regional Vice President-Commercial with development responsibility for Central America and the North Andes Region of South America.    </w:t>
      </w:r>
    </w:p>
    <w:p>
      <w:pPr>
        <w:pStyle w:val="Normal"/>
        <w:bidi w:val="0"/>
        <w:ind w:firstLine="720"/>
        <w:jc w:val="start"/>
        <w:rPr/>
      </w:pPr>
      <w:r>
        <w:rPr/>
        <w:t xml:space="preserve">        </w:t>
      </w:r>
    </w:p>
    <w:p>
      <w:pPr>
        <w:pStyle w:val="Normal"/>
        <w:bidi w:val="0"/>
        <w:ind w:firstLine="720"/>
        <w:jc w:val="start"/>
        <w:rPr>
          <w:b/>
        </w:rPr>
      </w:pPr>
      <w:r>
        <w:rPr>
          <w:b/>
        </w:rPr>
        <w:t>Enron International</w:t>
        <w:tab/>
        <w:tab/>
        <w:tab/>
        <w:tab/>
        <w:tab/>
        <w:tab/>
        <w:tab/>
        <w:t>1996-1998</w:t>
      </w:r>
    </w:p>
    <w:p>
      <w:pPr>
        <w:pStyle w:val="Normal"/>
        <w:bidi w:val="0"/>
        <w:jc w:val="start"/>
        <w:rPr>
          <w:b/>
        </w:rPr>
      </w:pPr>
      <w:r>
        <w:rPr>
          <w:i/>
        </w:rPr>
        <w:t xml:space="preserve">Vice President with responsibility for structuring all project developments and acquisitions in India and its environs as well as acting as lead developer of Enron’s projects on the East Coast of India.    </w:t>
      </w:r>
      <w:r>
        <w:rPr/>
        <w:t>Structuring responsibilities include oversight of the financial analysis process including risk assessment and analysis, cost of capital pricing and due diligence monitoring</w:t>
      </w:r>
      <w:r>
        <w:rPr>
          <w:i/>
        </w:rPr>
        <w:t xml:space="preserve">.      </w:t>
      </w:r>
      <w:r>
        <w:rPr/>
        <w:t>Development activity includes responding to internationally tendered requests for proposals and direct negotiations of infrastructure opportunities and the strategic assessment of the respective markets.    Projects include green-field development of gas and liquid fired power plants, natural</w:t>
      </w:r>
      <w:r>
        <w:rPr>
          <w:i/>
        </w:rPr>
        <w:t xml:space="preserve"> </w:t>
      </w:r>
      <w:r>
        <w:rPr/>
        <w:t>gas pipelines and Liquefied Natural Gas:    liquefaction, transportation and regasification</w:t>
      </w:r>
      <w:r>
        <w:rPr>
          <w:i/>
        </w:rPr>
        <w:t xml:space="preserve">.    </w:t>
      </w:r>
      <w:r>
        <w:rPr/>
        <w:t>Acquisitions include purchasing equity interests in privatized transmission, distribution, and generation assets of State Electricity Boards</w:t>
      </w:r>
      <w:r>
        <w:rPr>
          <w:i/>
        </w:rPr>
        <w:t xml:space="preserve">.    </w:t>
      </w:r>
      <w:r>
        <w:rPr/>
        <w:t xml:space="preserve">Lead Development responsibilities include marketing, managing and developing a portfolio of projects for the East Coast of India. </w:t>
      </w:r>
    </w:p>
    <w:p>
      <w:pPr>
        <w:pStyle w:val="Normal"/>
        <w:bidi w:val="0"/>
        <w:jc w:val="start"/>
        <w:rPr>
          <w:b/>
        </w:rPr>
      </w:pPr>
      <w:r>
        <w:rPr>
          <w:b/>
        </w:rPr>
      </w:r>
    </w:p>
    <w:p>
      <w:pPr>
        <w:pStyle w:val="Normal"/>
        <w:bidi w:val="0"/>
        <w:ind w:firstLine="720"/>
        <w:jc w:val="start"/>
        <w:rPr>
          <w:b/>
        </w:rPr>
      </w:pPr>
      <w:r>
        <w:rPr>
          <w:b/>
        </w:rPr>
        <w:t>Falcon Seaboard Power Corporation</w:t>
        <w:tab/>
        <w:tab/>
        <w:tab/>
        <w:tab/>
        <w:t>1992-1996</w:t>
      </w:r>
    </w:p>
    <w:p>
      <w:pPr>
        <w:pStyle w:val="Normal"/>
        <w:bidi w:val="0"/>
        <w:jc w:val="start"/>
        <w:rPr/>
      </w:pPr>
      <w:r>
        <w:rPr>
          <w:i/>
        </w:rPr>
        <w:t xml:space="preserve">Project Marketing and Business Development Manager of Domestic and International Independent Power Projects.    </w:t>
      </w:r>
      <w:r>
        <w:rPr/>
        <w:t>Identified niche markets for wholesaling energy, both electrical and thermal, to industrial customers and electrical utilities.    Dealt directly with prospective customers and joint venture partners for the design, feasibility, development, financing and operation of projects.    Interfaced with European and Houston offices including engineering, fuel supply, finance, marketing and legal divisions, and coordinated international vendors, contractors, consultants, attorneys, lenders and investors in marketing and financing independent power projects.    Involved with all facets of selling and financing projects:    prospecting, determining needs, generating alternatives, presenting proposals, financing, documenting and closing transactions.    Worked as part of the acquisition team to acquire two energy service companies, both a down stream and an upstream provider.      Most recent market concentration in Spain, Germany and the United Kingdom.</w:t>
      </w:r>
    </w:p>
    <w:p>
      <w:pPr>
        <w:pStyle w:val="Normal"/>
        <w:bidi w:val="0"/>
        <w:jc w:val="start"/>
        <w:rPr/>
      </w:pPr>
      <w:r>
        <w:rPr/>
      </w:r>
    </w:p>
    <w:p>
      <w:pPr>
        <w:pStyle w:val="Normal"/>
        <w:bidi w:val="0"/>
        <w:ind w:firstLine="720"/>
        <w:jc w:val="start"/>
        <w:rPr/>
      </w:pPr>
      <w:r>
        <w:rPr>
          <w:b/>
        </w:rPr>
        <w:t>Southwest Savings Realty, Inc./Resolution Trust Corporation</w:t>
        <w:tab/>
        <w:t>1989-1992</w:t>
        <w:tab/>
      </w:r>
    </w:p>
    <w:p>
      <w:pPr>
        <w:pStyle w:val="Normal"/>
        <w:bidi w:val="0"/>
        <w:jc w:val="start"/>
        <w:rPr>
          <w:i/>
          <w:i/>
        </w:rPr>
      </w:pPr>
      <w:r>
        <w:rPr>
          <w:i/>
        </w:rPr>
        <w:t xml:space="preserve">Asset Leasing, Marketing and Management </w:t>
      </w:r>
      <w:r>
        <w:rPr/>
        <w:t>for savings and loan institutions and their assets controlled by the Resolution Trust Corp. (RTC).</w:t>
      </w:r>
      <w:r>
        <w:rPr>
          <w:i/>
        </w:rPr>
        <w:t xml:space="preserve">    </w:t>
      </w:r>
      <w:r>
        <w:rPr/>
        <w:t xml:space="preserve">Opened a Houston Office Leasing Division to lease and market the 700,000 square foot office portfolio.    Marketed commercial land and </w:t>
      </w:r>
    </w:p>
    <w:p>
      <w:pPr>
        <w:pStyle w:val="Normal"/>
        <w:bidi w:val="0"/>
        <w:jc w:val="start"/>
        <w:rPr/>
      </w:pPr>
      <w:r>
        <w:rPr/>
        <w:t>improved properties located throughout Texas.    Commercial real estate brokerage and financial</w:t>
      </w:r>
    </w:p>
    <w:p>
      <w:pPr>
        <w:pStyle w:val="Normal"/>
        <w:bidi w:val="0"/>
        <w:jc w:val="start"/>
        <w:rPr>
          <w:i/>
          <w:i/>
        </w:rPr>
      </w:pPr>
      <w:r>
        <w:rPr/>
        <w:t>consulting for mortgage loan portfolios and real property acquisitions, dispositions and third party brokerage.    Clients included the RTC and its institutions held in conservatorship and receivership, pension funds, publicly and privately held businesses and individuals.</w:t>
      </w:r>
    </w:p>
    <w:p>
      <w:pPr>
        <w:pStyle w:val="Normal"/>
        <w:bidi w:val="0"/>
        <w:jc w:val="start"/>
        <w:rPr>
          <w:i/>
          <w:i/>
        </w:rPr>
      </w:pPr>
      <w:r>
        <w:rPr>
          <w:i/>
        </w:rPr>
      </w:r>
    </w:p>
    <w:p>
      <w:pPr>
        <w:pStyle w:val="Normal"/>
        <w:bidi w:val="0"/>
        <w:ind w:firstLine="720"/>
        <w:jc w:val="start"/>
        <w:rPr>
          <w:b/>
        </w:rPr>
      </w:pPr>
      <w:r>
        <w:rPr>
          <w:b/>
        </w:rPr>
        <w:t xml:space="preserve">Trammell Crow Company </w:t>
        <w:tab/>
        <w:tab/>
        <w:tab/>
        <w:tab/>
        <w:tab/>
        <w:tab/>
        <w:t>1985-1989</w:t>
      </w:r>
    </w:p>
    <w:p>
      <w:pPr>
        <w:pStyle w:val="Normal"/>
        <w:bidi w:val="0"/>
        <w:jc w:val="start"/>
        <w:rPr/>
      </w:pPr>
      <w:r>
        <w:rPr>
          <w:i/>
        </w:rPr>
        <w:t xml:space="preserve">Real Estate Marketing Representative </w:t>
      </w:r>
      <w:r>
        <w:rPr/>
        <w:t>for Trammell Crow leasing for investor and institutional owners for both suburban and downtown office buildings.    Marketing responsibilities include cold-calling, working with brokers, as well as existing tenants and call-ins.    Additional responsibilities involve development of new business prospects and providing administrative and financial support for field offices.    Coordinated and supervised leasing; initial contact, financial analysis, proposal, documentation, space planning, construction and property management.</w:t>
      </w:r>
    </w:p>
    <w:p>
      <w:pPr>
        <w:pStyle w:val="Normal"/>
        <w:bidi w:val="0"/>
        <w:jc w:val="start"/>
        <w:rPr/>
      </w:pPr>
      <w:r>
        <w:rPr/>
      </w:r>
    </w:p>
    <w:p>
      <w:pPr>
        <w:pStyle w:val="Normal"/>
        <w:bidi w:val="0"/>
        <w:ind w:firstLine="720"/>
        <w:jc w:val="start"/>
        <w:rPr>
          <w:b/>
        </w:rPr>
      </w:pPr>
      <w:r>
        <w:rPr>
          <w:b/>
        </w:rPr>
        <w:t>First City Bank-Houston, N.A.</w:t>
        <w:tab/>
        <w:tab/>
        <w:tab/>
        <w:tab/>
        <w:tab/>
        <w:t>1982-1985</w:t>
      </w:r>
    </w:p>
    <w:p>
      <w:pPr>
        <w:pStyle w:val="Normal"/>
        <w:bidi w:val="0"/>
        <w:jc w:val="start"/>
        <w:rPr/>
      </w:pPr>
      <w:r>
        <w:rPr>
          <w:i/>
        </w:rPr>
        <w:t xml:space="preserve">Real Estate Lending Officer:    </w:t>
      </w:r>
      <w:r>
        <w:rPr/>
        <w:t xml:space="preserve">Professional Bank Training Executive with emphasis in energy and real estate.    Structured both project financing and balance sheet financing for real estate </w:t>
      </w:r>
    </w:p>
    <w:p>
      <w:pPr>
        <w:pStyle w:val="Normal"/>
        <w:bidi w:val="0"/>
        <w:jc w:val="start"/>
        <w:rPr/>
      </w:pPr>
      <w:r>
        <w:rPr/>
        <w:t>acquisition, development, interim construction and term loans.    Calling Officer with marketing responsibilities in Houston and Austin.    Managed non-performing real estate loans and owned properties in the Real Estate Owned Department.</w:t>
      </w:r>
    </w:p>
    <w:p>
      <w:pPr>
        <w:pStyle w:val="Normal"/>
        <w:bidi w:val="0"/>
        <w:jc w:val="start"/>
        <w:rPr/>
      </w:pPr>
      <w:r>
        <w:rPr/>
      </w:r>
    </w:p>
    <w:p>
      <w:pPr>
        <w:pStyle w:val="Normal"/>
        <w:bidi w:val="0"/>
        <w:jc w:val="start"/>
        <w:rPr>
          <w:b/>
          <w:i/>
          <w:i/>
        </w:rPr>
      </w:pPr>
      <w:r>
        <w:rPr>
          <w:b/>
          <w:i/>
        </w:rPr>
        <w:t>EDUCATION</w:t>
      </w:r>
    </w:p>
    <w:p>
      <w:pPr>
        <w:pStyle w:val="Normal"/>
        <w:bidi w:val="0"/>
        <w:ind w:firstLine="720"/>
        <w:jc w:val="start"/>
        <w:rPr/>
      </w:pPr>
      <w:r>
        <w:rPr/>
        <w:t>The University of Texas at Austin</w:t>
      </w:r>
    </w:p>
    <w:p>
      <w:pPr>
        <w:pStyle w:val="Normal"/>
        <w:bidi w:val="0"/>
        <w:ind w:firstLine="1440"/>
        <w:jc w:val="start"/>
        <w:rPr/>
      </w:pPr>
      <w:r>
        <w:rPr/>
        <w:t xml:space="preserve">Master of Business Administration Degree.    Concentration in </w:t>
        <w:tab/>
        <w:tab/>
        <w:t>1982</w:t>
      </w:r>
    </w:p>
    <w:p>
      <w:pPr>
        <w:pStyle w:val="Normal"/>
        <w:bidi w:val="0"/>
        <w:ind w:firstLine="2160"/>
        <w:jc w:val="start"/>
        <w:rPr/>
      </w:pPr>
      <w:r>
        <w:rPr/>
        <w:t>Accounting and Finance.    Graduate Business Council</w:t>
      </w:r>
    </w:p>
    <w:p>
      <w:pPr>
        <w:pStyle w:val="Normal"/>
        <w:bidi w:val="0"/>
        <w:ind w:firstLine="1440"/>
        <w:jc w:val="start"/>
        <w:rPr/>
      </w:pPr>
      <w:r>
        <w:rPr/>
        <w:t>Bachelor of Business Administration Degree with Honors in Finance</w:t>
        <w:tab/>
        <w:t>1980</w:t>
      </w:r>
    </w:p>
    <w:p>
      <w:pPr>
        <w:pStyle w:val="Normal"/>
        <w:bidi w:val="0"/>
        <w:ind w:firstLine="2160"/>
        <w:jc w:val="start"/>
        <w:rPr/>
      </w:pPr>
      <w:r>
        <w:rPr/>
        <w:t xml:space="preserve">College Scholar, Dean's List.    Beta Gamma Sigma Honorary </w:t>
      </w:r>
    </w:p>
    <w:p>
      <w:pPr>
        <w:pStyle w:val="Normal"/>
        <w:bidi w:val="0"/>
        <w:ind w:firstLine="2160"/>
        <w:jc w:val="start"/>
        <w:rPr/>
      </w:pPr>
      <w:r>
        <w:rPr/>
        <w:t>Fraternity,    Sigma Alpha Epsilon</w:t>
      </w:r>
    </w:p>
    <w:p>
      <w:pPr>
        <w:pStyle w:val="Normal"/>
        <w:bidi w:val="0"/>
        <w:jc w:val="start"/>
        <w:rPr/>
      </w:pPr>
      <w:r>
        <w:rPr/>
      </w:r>
    </w:p>
    <w:p>
      <w:pPr>
        <w:pStyle w:val="Heading1"/>
        <w:bidi w:val="0"/>
        <w:jc w:val="start"/>
        <w:rPr>
          <w:rFonts w:ascii="Times New Roman" w:hAnsi="Times New Roman"/>
        </w:rPr>
      </w:pPr>
      <w:r>
        <w:rPr/>
        <w:t>COMMUNITY INVOLVEMENT</w:t>
      </w:r>
    </w:p>
    <w:p>
      <w:pPr>
        <w:pStyle w:val="BodyText2"/>
        <w:bidi w:val="0"/>
        <w:jc w:val="start"/>
        <w:rPr>
          <w:rFonts w:ascii="Times New Roman" w:hAnsi="Times New Roman"/>
        </w:rPr>
      </w:pPr>
      <w:r>
        <w:rPr/>
        <w:t xml:space="preserve">The University of Texas at Austin Graduate School of Business Alumni Admissions </w:t>
      </w:r>
    </w:p>
    <w:p>
      <w:pPr>
        <w:pStyle w:val="BodyText2"/>
        <w:bidi w:val="0"/>
        <w:jc w:val="start"/>
        <w:rPr>
          <w:rFonts w:ascii="Times New Roman" w:hAnsi="Times New Roman"/>
        </w:rPr>
      </w:pPr>
      <w:r>
        <w:rPr/>
        <w:tab/>
        <w:t>Network</w:t>
      </w:r>
    </w:p>
    <w:p>
      <w:pPr>
        <w:pStyle w:val="BodyText2"/>
        <w:bidi w:val="0"/>
        <w:jc w:val="start"/>
        <w:rPr>
          <w:rFonts w:ascii="Times New Roman" w:hAnsi="Times New Roman"/>
        </w:rPr>
      </w:pPr>
      <w:r>
        <w:rPr/>
        <w:t>The Children’s Fund Inc. – supporting disadvantaged youth of Houston</w:t>
      </w:r>
    </w:p>
    <w:p>
      <w:pPr>
        <w:pStyle w:val="BodyText2"/>
        <w:bidi w:val="0"/>
        <w:jc w:val="start"/>
        <w:rPr>
          <w:rFonts w:ascii="Times New Roman" w:hAnsi="Times New Roman"/>
        </w:rPr>
      </w:pPr>
      <w:r>
        <w:rPr/>
        <w:t>Dallas Theological Seminary President’s Council</w:t>
      </w:r>
    </w:p>
    <w:p>
      <w:pPr>
        <w:pStyle w:val="BodyText2"/>
        <w:bidi w:val="0"/>
        <w:jc w:val="start"/>
        <w:rPr>
          <w:rFonts w:ascii="Times New Roman" w:hAnsi="Times New Roman"/>
        </w:rPr>
      </w:pPr>
      <w:r>
        <w:rPr/>
        <w:t>Second Baptist School Development Committee and Parent’s Association Board</w:t>
      </w:r>
    </w:p>
    <w:p>
      <w:pPr>
        <w:pStyle w:val="BodyText2"/>
        <w:bidi w:val="0"/>
        <w:jc w:val="start"/>
        <w:rPr>
          <w:rFonts w:ascii="Times New Roman" w:hAnsi="Times New Roman"/>
        </w:rPr>
      </w:pPr>
      <w:r>
        <w:rPr/>
      </w:r>
    </w:p>
    <w:p>
      <w:pPr>
        <w:pStyle w:val="BodyText2"/>
        <w:bidi w:val="0"/>
        <w:jc w:val="start"/>
        <w:rPr>
          <w:rFonts w:ascii="Times New Roman" w:hAnsi="Times New Roman"/>
        </w:rPr>
      </w:pPr>
      <w:r>
        <w:rPr/>
        <w:t>PERSONAL</w:t>
        <w:tab/>
      </w:r>
    </w:p>
    <w:p>
      <w:pPr>
        <w:pStyle w:val="BodyText2"/>
        <w:bidi w:val="0"/>
        <w:jc w:val="start"/>
        <w:rPr>
          <w:rFonts w:ascii="Times New Roman" w:hAnsi="Times New Roman"/>
        </w:rPr>
      </w:pPr>
      <w:r>
        <w:rPr/>
        <w:t>Spouse:    Laura Elliott Suffield    Children:    Elizabeth 13yrs, Caroline 11yrs</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88"/>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imes New Roman" w:cs="Times New Roman"/>
      <w:color w:val="auto"/>
      <w:kern w:val="2"/>
      <w:sz w:val="24"/>
      <w:szCs w:val="24"/>
      <w:lang w:val="en-US" w:eastAsia="zh-CN" w:bidi="hi-IN"/>
    </w:rPr>
  </w:style>
  <w:style w:type="paragraph" w:styleId="Heading1">
    <w:name w:val="heading 1"/>
    <w:basedOn w:val="Normal"/>
    <w:next w:val="Normal"/>
    <w:qFormat/>
    <w:pPr>
      <w:keepNext w:val="true"/>
      <w:widowControl w:val="false"/>
      <w:outlineLvl w:val="0"/>
    </w:pPr>
    <w:rPr>
      <w:b/>
      <w:i/>
    </w:rPr>
  </w:style>
  <w:style w:type="paragraph" w:styleId="Heading2">
    <w:name w:val="heading 2"/>
    <w:basedOn w:val="Normal"/>
    <w:next w:val="Normal"/>
    <w:qFormat/>
    <w:pPr>
      <w:keepNext w:val="true"/>
      <w:widowControl w:val="false"/>
      <w:ind w:firstLine="720"/>
      <w:outlineLvl w:val="1"/>
    </w:pPr>
    <w:rPr>
      <w:b/>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Hyperlink">
    <w:name w:val="Hyperlink"/>
    <w:basedOn w:val="DefaultParagraphFont"/>
    <w:rPr>
      <w:color w:val="0000FF"/>
      <w:u w:val="sing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b/>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val="false"/>
      <w:ind w:firstLine="7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homas.suffield@enron.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899</Words>
  <Characters>0</Characters>
  <CharactersWithSpaces>5128</CharactersWithSpace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2000-07-17T06:38:00Z</dcterms:created>
  <dc:creator>tsuffiel</dc:creator>
  <dc:description/>
  <dc:language>en-US</dc:language>
  <cp:lastModifiedBy/>
  <cp:lastPrinted>2000-07-17T07:12:00Z</cp:lastPrinted>
  <dcterms:modified xsi:type="dcterms:W3CDTF">2000-08-17T15:38:00Z</dcterms:modified>
  <cp:revision>8</cp:revision>
  <dc:subject/>
  <dc:title>THOMAS 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Thomas M Suffield</vt:lpwstr>
  </property>
</Properties>
</file>