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jc w:val="both"/>
        <w:rPr/>
      </w:pPr>
      <w:r>
        <w:rPr/>
        <w:t>RICHARD S. GREEN</w:t>
        <w:tab/>
        <w:t>OPTIONOR</w:t>
      </w:r>
    </w:p>
    <w:p>
      <w:pPr>
        <w:pStyle w:val="Heading"/>
        <w:tabs>
          <w:tab w:val="clear" w:pos="720"/>
          <w:tab w:val="left" w:pos="5760" w:leader="none"/>
        </w:tabs>
        <w:jc w:val="both"/>
        <w:rPr/>
      </w:pPr>
      <w:r>
        <w:rPr/>
      </w:r>
    </w:p>
    <w:p>
      <w:pPr>
        <w:pStyle w:val="Heading"/>
        <w:tabs>
          <w:tab w:val="clear" w:pos="720"/>
          <w:tab w:val="left" w:pos="5760" w:leader="none"/>
        </w:tabs>
        <w:jc w:val="both"/>
        <w:rPr/>
      </w:pPr>
      <w:r>
        <w:rPr/>
        <w:t>TITAN LAND DEVELOPMENT COMPANY, L.L.C.</w:t>
        <w:tab/>
        <w:t>OPTIONEE</w:t>
      </w:r>
    </w:p>
    <w:p>
      <w:pPr>
        <w:pStyle w:val="Heading"/>
        <w:tabs>
          <w:tab w:val="clear" w:pos="720"/>
          <w:tab w:val="left" w:pos="5760" w:leader="none"/>
        </w:tabs>
        <w:jc w:val="both"/>
        <w:rPr/>
      </w:pPr>
      <w:r>
        <w:rPr/>
      </w:r>
    </w:p>
    <w:p>
      <w:pPr>
        <w:pStyle w:val="Heading"/>
        <w:tabs>
          <w:tab w:val="clear" w:pos="720"/>
          <w:tab w:val="left" w:pos="5760" w:leader="none"/>
        </w:tabs>
        <w:jc w:val="both"/>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Prepared by:</w:t>
        <w:tab/>
        <w:t>Piper Marbury Rudnick &amp; Wolfe</w:t>
      </w:r>
    </w:p>
    <w:p>
      <w:pPr>
        <w:pStyle w:val="Heading"/>
        <w:tabs>
          <w:tab w:val="clear" w:pos="720"/>
          <w:tab w:val="left" w:pos="1620" w:leader="none"/>
          <w:tab w:val="left" w:pos="5760" w:leader="none"/>
        </w:tabs>
        <w:jc w:val="both"/>
        <w:rPr/>
      </w:pPr>
      <w:r>
        <w:rPr/>
        <w:tab/>
        <w:t>203 N. LaSalle St., Ste. 1500</w:t>
      </w:r>
    </w:p>
    <w:p>
      <w:pPr>
        <w:pStyle w:val="Heading"/>
        <w:tabs>
          <w:tab w:val="clear" w:pos="720"/>
          <w:tab w:val="left" w:pos="1620" w:leader="none"/>
          <w:tab w:val="left" w:pos="5760" w:leader="none"/>
        </w:tabs>
        <w:jc w:val="both"/>
        <w:rPr/>
      </w:pPr>
      <w:r>
        <w:rPr/>
        <w:tab/>
        <w:t>Chicago, IL  60601</w:t>
      </w:r>
    </w:p>
    <w:p>
      <w:pPr>
        <w:pStyle w:val="Heading"/>
        <w:tabs>
          <w:tab w:val="clear" w:pos="720"/>
          <w:tab w:val="left" w:pos="1620" w:leader="none"/>
          <w:tab w:val="left" w:pos="5760" w:leader="none"/>
        </w:tabs>
        <w:jc w:val="both"/>
        <w:rPr/>
      </w:pPr>
      <w:r>
        <w:rPr/>
        <w:tab/>
        <w:t>Attn:  Donald A. Shindler</w:t>
      </w:r>
      <w:r>
        <w:br w:type="page"/>
      </w:r>
    </w:p>
    <w:p>
      <w:pPr>
        <w:pStyle w:val="Heading"/>
        <w:rPr>
          <w:sz w:val="22"/>
        </w:rPr>
      </w:pPr>
      <w:r>
        <w:rPr>
          <w:sz w:val="22"/>
        </w:rPr>
        <w:t>OPTION TO PURCHASE REAL ESTATE</w:t>
      </w:r>
    </w:p>
    <w:p>
      <w:pPr>
        <w:pStyle w:val="Normal"/>
        <w:widowControl/>
        <w:spacing w:before="360" w:after="0"/>
        <w:jc w:val="both"/>
        <w:rPr/>
      </w:pPr>
      <w:r>
        <w:rPr>
          <w:sz w:val="22"/>
        </w:rPr>
        <w:tab/>
      </w:r>
      <w:r>
        <w:rPr>
          <w:b/>
          <w:sz w:val="22"/>
        </w:rPr>
        <w:t>THIS OPTION TO PURCHASE REAL ESTATE</w:t>
      </w:r>
      <w:r>
        <w:rPr>
          <w:sz w:val="22"/>
        </w:rPr>
        <w:t xml:space="preserve"> (this "Option") is entered into by and between Richard S. Green, a resident of the State of Florida (hereinafter referred to as "Optionor") and Titan Land Development Company, L.L.C., a Delaware limited liability company (hereinafter referred to as "Optionee");</w:t>
      </w:r>
    </w:p>
    <w:p>
      <w:pPr>
        <w:pStyle w:val="Normal"/>
        <w:widowControl/>
        <w:spacing w:before="120" w:after="0"/>
        <w:jc w:val="center"/>
        <w:rPr>
          <w:b/>
          <w:sz w:val="22"/>
        </w:rPr>
      </w:pPr>
      <w:r>
        <w:rPr>
          <w:b/>
          <w:sz w:val="22"/>
        </w:rPr>
        <w:t>W I T N E S S E T H:</w:t>
      </w:r>
    </w:p>
    <w:p>
      <w:pPr>
        <w:pStyle w:val="Normal"/>
        <w:widowControl/>
        <w:spacing w:before="120" w:after="0"/>
        <w:jc w:val="both"/>
        <w:rPr/>
      </w:pPr>
      <w:r>
        <w:rPr>
          <w:sz w:val="22"/>
        </w:rPr>
        <w:tab/>
      </w:r>
      <w:r>
        <w:rPr>
          <w:b/>
          <w:sz w:val="22"/>
        </w:rPr>
        <w:t>WHEREAS</w:t>
      </w:r>
      <w:r>
        <w:rPr>
          <w:sz w:val="22"/>
        </w:rPr>
        <w:t xml:space="preserve">, Optionor is the owner of approximately 117 acres of real property situated in Livingston County, Illinois, more particularly described in </w:t>
      </w:r>
      <w:r>
        <w:rPr>
          <w:sz w:val="22"/>
          <w:u w:val="single"/>
        </w:rPr>
        <w:t>Exhibit A</w:t>
      </w:r>
      <w:r>
        <w:rPr>
          <w:sz w:val="22"/>
        </w:rPr>
        <w:t xml:space="preserve"> attached hereto and incorporated herein by this reference (the " Property"); and</w:t>
      </w:r>
    </w:p>
    <w:p>
      <w:pPr>
        <w:pStyle w:val="Normal"/>
        <w:widowControl/>
        <w:spacing w:before="120" w:after="0"/>
        <w:jc w:val="both"/>
        <w:rPr/>
      </w:pPr>
      <w:r>
        <w:rPr>
          <w:sz w:val="22"/>
        </w:rPr>
        <w:tab/>
      </w:r>
      <w:r>
        <w:rPr>
          <w:b/>
          <w:sz w:val="22"/>
        </w:rPr>
        <w:t>WHEREAS</w:t>
      </w:r>
      <w:r>
        <w:rPr>
          <w:sz w:val="22"/>
        </w:rPr>
        <w:t>, Optionor desires to grant to Optionee, and Optionee desires to obtain from Optionor, an option to purchase the Property;</w:t>
      </w:r>
    </w:p>
    <w:p>
      <w:pPr>
        <w:pStyle w:val="Normal"/>
        <w:widowControl/>
        <w:spacing w:before="120" w:after="0"/>
        <w:jc w:val="both"/>
        <w:rPr/>
      </w:pPr>
      <w:r>
        <w:rPr>
          <w:sz w:val="22"/>
        </w:rPr>
        <w:tab/>
      </w:r>
      <w:r>
        <w:rPr>
          <w:b/>
          <w:sz w:val="22"/>
        </w:rPr>
        <w:t>NOW THEREFORE</w:t>
      </w:r>
      <w:r>
        <w:rPr>
          <w:sz w:val="22"/>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rPr>
          <w:sz w:val="22"/>
        </w:rPr>
      </w:pPr>
      <w:r>
        <w:rPr>
          <w:sz w:val="22"/>
        </w:rPr>
        <w:tab/>
      </w:r>
      <w:r>
        <w:rPr>
          <w:b/>
          <w:sz w:val="22"/>
        </w:rPr>
        <w:t>1.</w:t>
        <w:tab/>
        <w:t>Grant of Option</w:t>
      </w:r>
    </w:p>
    <w:p>
      <w:pPr>
        <w:pStyle w:val="BodyText"/>
        <w:spacing w:before="120" w:after="0"/>
        <w:rPr>
          <w:sz w:val="22"/>
        </w:rPr>
      </w:pPr>
      <w:r>
        <w:rPr>
          <w:sz w:val="22"/>
        </w:rPr>
        <w:tab/>
        <w:t>Optionor, in consideration of $5,000.00 ("Option Consideration") duly paid by Optionee, agrees to sell and convey the Property to Optionee, its successors and assigns, upon Optionee's election to purchase the Property by giving notice as provided in Section 8 herein at any time before the Expiration Date, as defined in and determined under Section 10.  This Option shall constitute an obligation of Optionor and a right in and encumbrance upon the Property pursuant to the terms hereof.</w:t>
      </w:r>
    </w:p>
    <w:p>
      <w:pPr>
        <w:pStyle w:val="Normal"/>
        <w:keepNext w:val="true"/>
        <w:widowControl/>
        <w:spacing w:before="120" w:after="0"/>
        <w:rPr>
          <w:sz w:val="22"/>
        </w:rPr>
      </w:pPr>
      <w:r>
        <w:rPr>
          <w:sz w:val="22"/>
        </w:rPr>
        <w:tab/>
      </w:r>
      <w:r>
        <w:rPr>
          <w:b/>
          <w:sz w:val="22"/>
        </w:rPr>
        <w:t>2.</w:t>
        <w:tab/>
        <w:t>Purchase Price</w:t>
      </w:r>
    </w:p>
    <w:p>
      <w:pPr>
        <w:pStyle w:val="Normal"/>
        <w:widowControl/>
        <w:spacing w:before="120" w:after="0"/>
        <w:jc w:val="both"/>
        <w:rPr>
          <w:sz w:val="22"/>
        </w:rPr>
      </w:pPr>
      <w:r>
        <w:rPr>
          <w:sz w:val="22"/>
        </w:rPr>
        <w:tab/>
        <w:t>If Optionee elects to exercise its option to purchase the Property, the purchase price shall be $4,500.00 per acre (the "Purchase Price"), and all sums paid pursuant to Sections 1 and 10 hereof may be credited against the Purchase Price at Optionee's election.  Optionor and Optionee acknowledge and agree that the Purchase Price shall be computed based on the actual acreage determined by the survey to be conducted pursuant to Section 17.</w:t>
      </w:r>
    </w:p>
    <w:p>
      <w:pPr>
        <w:pStyle w:val="Normal"/>
        <w:keepNext w:val="true"/>
        <w:widowControl/>
        <w:spacing w:before="120" w:after="0"/>
        <w:rPr>
          <w:sz w:val="22"/>
        </w:rPr>
      </w:pPr>
      <w:r>
        <w:rPr>
          <w:sz w:val="22"/>
        </w:rPr>
        <w:tab/>
      </w:r>
      <w:r>
        <w:rPr>
          <w:b/>
          <w:sz w:val="22"/>
        </w:rPr>
        <w:t>3.</w:t>
        <w:tab/>
        <w:t>Conveyance</w:t>
      </w:r>
    </w:p>
    <w:p>
      <w:pPr>
        <w:pStyle w:val="BodyText"/>
        <w:spacing w:before="120" w:after="0"/>
        <w:rPr>
          <w:sz w:val="23"/>
        </w:rPr>
      </w:pPr>
      <w:r>
        <w:rPr>
          <w:sz w:val="22"/>
        </w:rPr>
        <w:tab/>
        <w:t>Upon Optionee's notice, Optionor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however to the rights of the present tenant in possession under that certain existing oral farm lease as may be renewed on a year to year basis (cancelable as of October 31 annually, otherwise automatically renewing for the next March 1 through February 28 annually);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w:t>
      </w:r>
    </w:p>
    <w:p>
      <w:pPr>
        <w:pStyle w:val="BodyText"/>
        <w:spacing w:before="120" w:after="0"/>
        <w:rPr>
          <w:sz w:val="22"/>
        </w:rPr>
      </w:pPr>
      <w:r>
        <w:rPr>
          <w:sz w:val="22"/>
        </w:rPr>
      </w:r>
    </w:p>
    <w:p>
      <w:pPr>
        <w:pStyle w:val="BodyText"/>
        <w:spacing w:before="120" w:after="0"/>
        <w:rPr/>
      </w:pPr>
      <w:r>
        <w:rPr>
          <w:sz w:val="21"/>
        </w:rPr>
        <w:t>Optionor;</w:t>
      </w:r>
      <w:r>
        <w:rPr/>
        <w:t xml:space="preserve">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 is unable to remove or to make provision for the removal of such defects raised by Optionee to the reasonable satisfaction of Optionee on or before Closing, Optionee shall have the right to rescind this Option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 shall be responsible for and satisfy all taxes and special assessments for all calendar years prior to the calendar year of Closing.  Closing shall occur within thirty (30) days after notice of exercise and shall take place at the Livingston County Abstract Office, Pontiac, Illinois. Other prorations and payment of expenses of conveyance shall be in accordance with local custom.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 Optionor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Lease Renewal and Reimbursement for Crops Planted, Ground Preparation</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rPr>
          <w:b/>
        </w:rPr>
      </w:pPr>
      <w:r>
        <w:rPr/>
        <w:t>The parties agree that Optionor will not convey an interest in or otherwise encumber the Property during the term of this Option (as extended pursuant to the terms hereof); provided, however, if the Option is not exercised prior to the expiration of the present farm tenancy, Optionor may renew said lease or otherwise lease the Property to another tenant subject to this Agreement; provided, further, however, that if the sale and conveyance of the Property pursuant to this Agreement shall not have occurred prior to March 1, 2001, the tenancy rights shall be negotiated on the following basis:  (a) if final settlement hereunder shall occur after the harvest of the 2000 growing crop and prior to the planting of the 2001 crop, the tenant of the farm tenancy (the "Tenant") shall be compensated by Optionee for the fall and spring tillage, if any, at the most recent custom rates published by the University of Illinois Extension Office, together with reimbursement of the Tenant for fall fertilizer, chemicals, and other crop input  expenses incurred by Tenant; and (b) if final settlement shall occur after any portion of the 2001 crop shall have been planted, and Tenant is denied the opportunity to harvest any of the 2001 crop as a result thereof, then as to such portion of the property the Tenant shall be compensated by Optionee on the basis of the average annual yield for the subject premises, determined on the basis of the three (3) most recent crop years as evidenced by the crop production records of the Tenant, multiplied by the average county price for such crop for the year in question.</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 incident to any of the foregoing, provided Optionee shall not be liable to Optionor for any consequential, special, exemplary or punitive damages.  In addition to the foregoing, Optionee shall reimburse the Tenant in possession for all damage occasioned to growing crops on account of such inspections, testing, and investigations.</w:t>
      </w:r>
    </w:p>
    <w:p>
      <w:pPr>
        <w:pStyle w:val="Normal"/>
        <w:widowControl/>
        <w:spacing w:before="120" w:after="0"/>
        <w:jc w:val="both"/>
        <w:rPr>
          <w:sz w:val="24"/>
        </w:rPr>
      </w:pPr>
      <w:r>
        <w:rPr>
          <w:sz w:val="24"/>
        </w:rPr>
        <w:tab/>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in respect of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Any notice or communication required or permitted hereunder shall be given in writing,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Heading2"/>
        <w:keepLines w:val="false"/>
        <w:rPr/>
      </w:pPr>
      <w:r>
        <w:rPr/>
        <w:t>If to Optionor, to:</w:t>
        <w:tab/>
        <w:t>Richard S. Green</w:t>
      </w:r>
    </w:p>
    <w:p>
      <w:pPr>
        <w:pStyle w:val="Normal"/>
        <w:keepNext w:val="true"/>
        <w:widowControl/>
        <w:tabs>
          <w:tab w:val="clear" w:pos="720"/>
          <w:tab w:val="left" w:pos="4320" w:leader="none"/>
          <w:tab w:val="left" w:pos="8640" w:leader="none"/>
        </w:tabs>
        <w:ind w:start="1440" w:end="0"/>
        <w:rPr>
          <w:sz w:val="24"/>
          <w:u w:val="single"/>
        </w:rPr>
      </w:pPr>
      <w:r>
        <w:rPr>
          <w:sz w:val="24"/>
        </w:rPr>
        <w:tab/>
        <w:t>19253 Greenvalley North</w:t>
      </w:r>
    </w:p>
    <w:p>
      <w:pPr>
        <w:pStyle w:val="Heading2"/>
        <w:keepLines w:val="false"/>
        <w:spacing w:before="0" w:after="0"/>
        <w:rPr>
          <w:u w:val="single"/>
        </w:rPr>
      </w:pPr>
      <w:r>
        <w:rPr/>
        <w:tab/>
        <w:t>Ft. Meyers, Florida  33903</w:t>
      </w:r>
    </w:p>
    <w:p>
      <w:pPr>
        <w:pStyle w:val="Normal"/>
        <w:keepNext w:val="true"/>
        <w:widowControl/>
        <w:tabs>
          <w:tab w:val="clear" w:pos="720"/>
          <w:tab w:val="left" w:pos="4320" w:leader="none"/>
          <w:tab w:val="left" w:pos="8640" w:leader="none"/>
        </w:tabs>
        <w:ind w:start="1440" w:end="0"/>
        <w:rPr>
          <w:sz w:val="24"/>
        </w:rPr>
      </w:pPr>
      <w:r>
        <w:rPr>
          <w:sz w:val="24"/>
        </w:rPr>
        <w:tab/>
        <w:t>Phone: (941) 463-2595</w:t>
      </w:r>
    </w:p>
    <w:p>
      <w:pPr>
        <w:pStyle w:val="Normal"/>
        <w:widowControl/>
        <w:tabs>
          <w:tab w:val="clear" w:pos="720"/>
          <w:tab w:val="left" w:pos="4320" w:leader="none"/>
          <w:tab w:val="left" w:pos="8640" w:leader="none"/>
        </w:tabs>
        <w:ind w:start="1440" w:end="0"/>
        <w:rPr>
          <w:sz w:val="24"/>
          <w:u w:val="single"/>
        </w:rPr>
      </w:pPr>
      <w:r>
        <w:rPr>
          <w:sz w:val="24"/>
        </w:rPr>
        <w:tab/>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 agrees not to sell or offer for sale the Property or any interest therein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twelve (12) months after the date of execution hereof (the "Expiration Date").  Upon the payment</w:t>
      </w:r>
      <w:r>
        <w:rPr>
          <w:i/>
          <w:sz w:val="24"/>
        </w:rPr>
        <w:t xml:space="preserve"> </w:t>
      </w:r>
      <w:r>
        <w:rPr>
          <w:sz w:val="24"/>
        </w:rPr>
        <w:t xml:space="preserve">of $5,000.00 to Optionor on or before the Expiration Date, Optionee shall have the right to one (1) renewal of this Option for an additional six (6) month term, which right must be exercised prior to the Expiration Date by delivery of notice and payment to Optionor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 agrees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w:t>
      </w:r>
    </w:p>
    <w:p>
      <w:pPr>
        <w:pStyle w:val="Normal"/>
        <w:widowControl/>
        <w:spacing w:before="120" w:after="0"/>
        <w:jc w:val="both"/>
        <w:rPr>
          <w:sz w:val="24"/>
        </w:rPr>
      </w:pPr>
      <w:r>
        <w:rPr>
          <w:sz w:val="24"/>
        </w:rPr>
        <w:tab/>
        <w:t>Optionor represents and warrants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 is the owner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Optionor will not convey an interest in or otherwise encumber the Property during the term of this Option (as extended pursuant to the terms hereof), subject to the terms of Section 6 above;</w:t>
      </w:r>
    </w:p>
    <w:p>
      <w:pPr>
        <w:pStyle w:val="Normal"/>
        <w:widowControl/>
        <w:spacing w:before="120" w:after="0"/>
        <w:ind w:hanging="720" w:start="1440" w:end="0"/>
        <w:jc w:val="both"/>
        <w:rPr>
          <w:sz w:val="24"/>
        </w:rPr>
      </w:pPr>
      <w:r>
        <w:rPr>
          <w:sz w:val="24"/>
        </w:rPr>
        <w:t>(d)</w:t>
        <w:tab/>
        <w:t>There are no pending actions, suits, arbitrations, claims or proceedings, at law or in equity, affecting all or any portion of the Property or Optionor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 has no notice of the existence of any threatened or contemplated actions, claims or proceedings relating to Optionor, the Property or the operation thereof.  The Optionor is not currently involved in any material dispute with any authority, or in any dispute with any of the agents, employees, brokers, representatives or other independent contractors of Optionor relating to the use, operation or leasing of the Property.  No unsatisfied judgments or decrees have been entered against Optionor which has affected or might potentially affect the Property.  Neither the Optionor nor the Property is operating under or subject to any order, writ, injunction, decree, or judgment of any arbitrator or authority, other than land use approvals.  Neither the Optionor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 has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widowControl/>
        <w:spacing w:before="120" w:after="0"/>
        <w:ind w:hanging="720" w:start="1440" w:end="0"/>
        <w:jc w:val="both"/>
        <w:rPr>
          <w:sz w:val="24"/>
        </w:rPr>
      </w:pPr>
      <w:r>
        <w:rPr>
          <w:sz w:val="24"/>
        </w:rPr>
        <w:t>(i)</w:t>
        <w:tab/>
        <w:t>Optionee shall not be liable under Illinois Income Tax Act § 902(d) (bulk sales) by reason of Optionor's disposition of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 shall promptly give Optionee notice upon the occurrence of any event, or receipt of any notice, which might give rise to a breach by Optionor of any of its representations, covenants or warranties set forth in this Section 16.</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17.</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widowControl/>
        <w:spacing w:before="120" w:after="0"/>
        <w:ind w:hanging="720" w:start="1440" w:end="0"/>
        <w:jc w:val="both"/>
        <w:rPr>
          <w:sz w:val="24"/>
        </w:rPr>
      </w:pPr>
      <w:r>
        <w:rPr>
          <w:sz w:val="24"/>
        </w:rPr>
        <w:t>(b)</w:t>
        <w:tab/>
      </w:r>
      <w:r>
        <w:rPr>
          <w:spacing w:val="-3"/>
          <w:sz w:val="24"/>
        </w:rPr>
        <w:t>All water, gas, electricity, telephone and other utilities necessary for the construction and operation of said Project are available for connection to the Property at a point or points on the boundary lines of the Property or are in place at the Property, and are of sufficient capacity for said Project.</w:t>
      </w:r>
    </w:p>
    <w:p>
      <w:pPr>
        <w:pStyle w:val="Normal"/>
        <w:widowControl/>
        <w:spacing w:before="120" w:after="0"/>
        <w:ind w:hanging="720" w:start="1440" w:end="0"/>
        <w:jc w:val="both"/>
        <w:rPr/>
      </w:pPr>
      <w:r>
        <w:rPr>
          <w:sz w:val="24"/>
        </w:rPr>
        <w:t>(c)</w:t>
        <w:tab/>
      </w:r>
      <w:r>
        <w:rPr>
          <w:spacing w:val="-3"/>
          <w:sz w:val="24"/>
        </w:rPr>
        <w:t>The zoning and building laws and ordinances applicable to the Property allow the construction and operation of said Project.</w:t>
      </w:r>
    </w:p>
    <w:p>
      <w:pPr>
        <w:pStyle w:val="BodyTextIndent3"/>
        <w:rPr/>
      </w:pPr>
      <w:r>
        <w:rPr/>
        <w:t>(d)</w:t>
        <w:tab/>
        <w:t>Optionee has determined that it will be able to obtain all necessary permits, licenses, clearances, variances and approvals necessary for the construction and operation of said Project, including, but not limited to, building permits, utility permits, highway median and curb cut and environmental approvals.</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(e)</w:t>
        <w:tab/>
        <w:t>Optionee has obtained satisfactory topographic studies, soil tests and other subsurface reports as to the suitability of the Property for the construction and operation of said Project.  If all or any part of the Property is located within a flood plain, Optionee has determined that the same will not prevent or impair the construction and operation of said Project.</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(f)</w:t>
        <w:tab/>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(h)</w:t>
        <w:tab/>
        <w:t>All representations and warranties of Optionor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(i)</w:t>
        <w:tab/>
        <w:t>Optionor shall be able to convey indefeasible fee simple title to the Property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(j)</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 to Optionee and the payment of the purchase price therefor by Optionee to Optionor, (</w:t>
      </w:r>
      <w:bookmarkStart w:id="0" w:name="BM_1_"/>
      <w:bookmarkEnd w:id="0"/>
      <w:r>
        <w:rPr>
          <w:sz w:val="24"/>
        </w:rPr>
        <w:t>i) terminate this Option and/or revoke any exercise of the option contained herein, in which event all option monies paid by Optionee hereunder shall be refunded immediately to Optionee,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Default by Optionor</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19.</w:t>
        <w:tab/>
        <w:t>Default by Optionee</w:t>
      </w:r>
    </w:p>
    <w:p>
      <w:pPr>
        <w:pStyle w:val="Normal"/>
        <w:widowControl/>
        <w:spacing w:before="120" w:after="0"/>
        <w:jc w:val="both"/>
        <w:rPr>
          <w:sz w:val="24"/>
        </w:rPr>
      </w:pPr>
      <w:r>
        <w:rPr>
          <w:sz w:val="24"/>
        </w:rPr>
        <w:tab/>
        <w:t>If the Option terminates or expires prior to exercise thereof by Optionee, Optionor as its sole and exclusive remedy shall retain the Option Consideration and the Option shall absolutely terminate and Optionee shall have no right to purchase the Property and no other liability or obligation to Optionor except as provided herein.  The Option Consideration constitutes the true option consideration, not damages and not a penalty or forfeiture and are deemed earned and the property of Optionor upon receipt by Optionor.  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 acknowledge that it would be extremely difficult and impractical, if not impossible, to ascertain with any degree of certainty before signing this Option the amount of damages which would be suffered by Optionor if Optionee fails to perform its obligations under this Option.  Optionee and Optionor having made diligent but unsuccessful  attempts to ascertain the actual damages Optionor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 by reason of Optionee's default, escrow holder shall immediately cancel the escrow and Optionor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 his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22.</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 will indemnify and hold Optionee harmless from and against all claims by any broker for commissions arising from this Option.  The provisions of this Section 23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24.</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25.</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 and Optionee hereby agree that no provision of this Option shall be construed against Optionor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26.</w:t>
        <w:tab/>
        <w:t>Arbitration</w:t>
      </w:r>
    </w:p>
    <w:p>
      <w:pPr>
        <w:pStyle w:val="BodyText3"/>
        <w:rPr>
          <w:sz w:val="24"/>
        </w:rPr>
      </w:pPr>
      <w:r>
        <w:rPr>
          <w:sz w:val="24"/>
        </w:rPr>
        <w:tab/>
        <w:t>Excepting the rights of the parties pursuant to Sections 18 and 19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 shall be final and conclusive on the parties unless it is fraudulent, capricious, or arbitrary,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27.</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 hereby acknowledge and agree that neither party is relying upon the other or upon the other’s counsel for advice with respect to any legal or tax implications of the transaction contemplated herein.  Optionee and Optionor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28.</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28,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 (b) to the extent required by any applicable statute, law, regulation or governmental authority; and (c) in connection with exercising any remedy in any proceeding contemplated by Section 25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t>Richard S. Green</w:t>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pPr>
      <w:r>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r>
        <w:br w:type="page"/>
      </w:r>
    </w:p>
    <w:p>
      <w:pPr>
        <w:pStyle w:val="Normal"/>
        <w:widowControl/>
        <w:rPr>
          <w:b/>
          <w:sz w:val="24"/>
        </w:rPr>
      </w:pPr>
      <w:r>
        <w:rPr>
          <w:b/>
          <w:sz w:val="24"/>
        </w:rPr>
        <w:t>STATE OF _____________</w:t>
      </w:r>
    </w:p>
    <w:p>
      <w:pPr>
        <w:pStyle w:val="Normal"/>
        <w:widowControl/>
        <w:rPr>
          <w:b/>
          <w:sz w:val="24"/>
        </w:rPr>
      </w:pPr>
      <w:r>
        <w:rPr>
          <w:b/>
          <w:sz w:val="24"/>
        </w:rPr>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Richard S. Green who acknowledged before me that he signed, sealed and delivered the above and foregoing Option to Purchase Real Estate on the date above written for the purposes therein expressed as his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/mnt/main-storage/datasets/enron-docs/doc/TITAN_GREEN____option.DOC</w:t>
    </w:r>
    <w:r>
      <w:rPr>
        <w:sz w:val="16"/>
        <w:lang w:eastAsia="en-US"/>
      </w:rPr>
      <w:fldChar w:fldCharType="end"/>
    </w:r>
  </w:p>
  <w:p>
    <w:pPr>
      <w:pStyle w:val="Footer"/>
      <w:spacing w:before="240" w:after="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/mnt/main-storage/datasets/enron-docs/doc/TITAN_GREEN____option.DOC</w:t>
    </w:r>
    <w:r>
      <w:rPr>
        <w:sz w:val="12"/>
        <w:lang w:eastAsia="en-US"/>
      </w:rPr>
      <w:fldChar w:fldCharType="end"/>
    </w:r>
  </w:p>
  <w:p>
    <w:pPr>
      <w:pStyle w:val="Footer"/>
      <w:spacing w:before="240" w:after="0"/>
      <w:jc w:val="center"/>
      <w:rPr>
        <w:sz w:val="12"/>
        <w:lang w:eastAsia="en-US"/>
      </w:rPr>
    </w:pPr>
    <w:r>
      <w:rPr>
        <w:sz w:val="1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2000-06-09T16:04:00Z</dcterms:created>
  <dc:creator>Michael Boyd:Houston:Andrews &amp; Kurth</dc:creator>
  <dc:description/>
  <dc:language>en-CA</dc:language>
  <cp:lastModifiedBy>Information Systems</cp:lastModifiedBy>
  <cp:lastPrinted>2000-06-09T14:15:00Z</cp:lastPrinted>
  <dcterms:modified xsi:type="dcterms:W3CDTF">2000-06-09T16:45:00Z</dcterms:modified>
  <cp:revision>5</cp:revision>
  <dc:subject/>
  <dc:title>First Amendment to Purchase and Sale Agreement-Copley: Hugo Gutierre</dc:title>
</cp:coreProperties>
</file>