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jc w:val="both"/>
        <w:rPr>
          <w:rFonts w:ascii="Arial" w:hAnsi="Arial" w:cs="Arial"/>
          <w:b/>
        </w:rPr>
      </w:pPr>
      <w:r>
        <w:rPr>
          <w:rFonts w:cs="Arial" w:ascii="Arial" w:hAnsi="Arial"/>
          <w:b/>
          <w:u w:val="single"/>
        </w:rPr>
        <w:t>Quantity Obligations</w:t>
      </w:r>
      <w:r>
        <w:rPr>
          <w:rFonts w:cs="Arial" w:ascii="Arial" w:hAnsi="Arial"/>
        </w:rPr>
        <w:t>.</w:t>
      </w:r>
      <w:r>
        <w:rPr>
          <w:rFonts w:cs="Arial" w:ascii="Arial" w:hAnsi="Arial"/>
          <w:b/>
        </w:rPr>
        <w:t xml:space="preserve">   </w:t>
      </w:r>
    </w:p>
    <w:p>
      <w:pPr>
        <w:pStyle w:val="Normal"/>
        <w:jc w:val="both"/>
        <w:rPr>
          <w:rFonts w:ascii="Arial" w:hAnsi="Arial" w:cs="Arial"/>
          <w:b/>
        </w:rPr>
      </w:pPr>
      <w:r>
        <w:rPr>
          <w:rFonts w:cs="Arial" w:ascii="Arial" w:hAnsi="Arial"/>
          <w:b/>
        </w:rPr>
      </w:r>
    </w:p>
    <w:p>
      <w:pPr>
        <w:pStyle w:val="Normal"/>
        <w:numPr>
          <w:ilvl w:val="1"/>
          <w:numId w:val="1"/>
        </w:numPr>
        <w:jc w:val="both"/>
        <w:rPr>
          <w:rFonts w:ascii="Arial" w:hAnsi="Arial" w:cs="Arial"/>
        </w:rPr>
      </w:pPr>
      <w:r>
        <w:rPr>
          <w:rFonts w:cs="Arial" w:ascii="Arial" w:hAnsi="Arial"/>
          <w:b/>
          <w:u w:val="single"/>
        </w:rPr>
        <w:t>Tier 1 Interruptible Gas.</w:t>
      </w:r>
      <w:r>
        <w:rPr>
          <w:rFonts w:cs="Arial" w:ascii="Arial" w:hAnsi="Arial"/>
        </w:rPr>
        <w:t xml:space="preserve">   Seller and Buyer shall schedule at the Delivery Point(s) each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No notice of interruption may be retroactive to a prior time.</w:t>
      </w:r>
    </w:p>
    <w:p>
      <w:pPr>
        <w:pStyle w:val="Normal"/>
        <w:jc w:val="both"/>
        <w:rPr>
          <w:rFonts w:ascii="Arial" w:hAnsi="Arial" w:eastAsia="Arial" w:cs="Arial"/>
        </w:rPr>
      </w:pPr>
      <w:r>
        <w:rPr>
          <w:rFonts w:eastAsia="Arial" w:cs="Arial" w:ascii="Arial" w:hAnsi="Arial"/>
        </w:rPr>
        <w:t xml:space="preserve">  </w:t>
      </w:r>
    </w:p>
    <w:p>
      <w:pPr>
        <w:pStyle w:val="Normal"/>
        <w:numPr>
          <w:ilvl w:val="1"/>
          <w:numId w:val="1"/>
        </w:numPr>
        <w:jc w:val="both"/>
        <w:rPr>
          <w:rFonts w:ascii="Arial" w:hAnsi="Arial" w:cs="Arial"/>
        </w:rPr>
      </w:pPr>
      <w:r>
        <w:rPr>
          <w:rFonts w:cs="Arial" w:ascii="Arial" w:hAnsi="Arial"/>
          <w:b/>
          <w:u w:val="single"/>
        </w:rPr>
        <w:t>Tier 2 Limited Firm Gas .</w:t>
      </w:r>
      <w:r>
        <w:rPr>
          <w:rFonts w:cs="Arial" w:ascii="Arial" w:hAnsi="Arial"/>
          <w:b/>
        </w:rPr>
        <w:t xml:space="preserve">   </w:t>
      </w:r>
      <w:r>
        <w:rPr>
          <w:rFonts w:cs="Arial" w:ascii="Arial" w:hAnsi="Arial"/>
        </w:rPr>
        <w:t>Except as hereinafter provided, each of Seller and Buyer shall schedule at the Delivery Point(s) each day on a firm basis a quantity of gas equal to the DCQ.  The parties acknowledge and agree that this Spot Confirmation is subject to Seller’s use of either (a) recallable firm transportation service obtained through the capacity release and related procedures of Seller’s transporter(s) (“</w:t>
      </w:r>
      <w:r>
        <w:rPr>
          <w:rFonts w:cs="Arial" w:ascii="Arial" w:hAnsi="Arial"/>
          <w:u w:val="single"/>
        </w:rPr>
        <w:t>RFT Service</w:t>
      </w:r>
      <w:r>
        <w:rPr>
          <w:rFonts w:cs="Arial" w:ascii="Arial" w:hAnsi="Arial"/>
        </w:rPr>
        <w:t>”), and/or (b) interruptible transportation service (“</w:t>
      </w:r>
      <w:r>
        <w:rPr>
          <w:rFonts w:cs="Arial" w:ascii="Arial" w:hAnsi="Arial"/>
          <w:u w:val="single"/>
        </w:rPr>
        <w:t>IT Service</w:t>
      </w:r>
      <w:r>
        <w:rPr>
          <w:rFonts w:cs="Arial" w:ascii="Arial" w:hAnsi="Arial"/>
        </w:rPr>
        <w:t>”), and/or (c) firm transportation service (“</w:t>
      </w:r>
      <w:r>
        <w:rPr>
          <w:rFonts w:cs="Arial" w:ascii="Arial" w:hAnsi="Arial"/>
          <w:u w:val="single"/>
        </w:rPr>
        <w:t>Firm Service</w:t>
      </w:r>
      <w:r>
        <w:rPr>
          <w:rFonts w:cs="Arial" w:ascii="Arial" w:hAnsi="Arial"/>
        </w:rPr>
        <w:t>”).  Seller shall have no obligation or liability arising from Seller’s failure to schedule gas under this Spot Confirmation which is subject to Seller’s use of Firm Service when such failure to schedule is due to the reallocation of such gas by the receiving LDC (“</w:t>
      </w:r>
      <w:r>
        <w:rPr>
          <w:rFonts w:cs="Arial" w:ascii="Arial" w:hAnsi="Arial"/>
          <w:u w:val="single"/>
        </w:rPr>
        <w:t>LDC Reallocation</w:t>
      </w:r>
      <w:r>
        <w:rPr>
          <w:rFonts w:cs="Arial" w:ascii="Arial" w:hAnsi="Arial"/>
        </w:rPr>
        <w:t>”).  If on any day Seller fails to schedule the DCQ, including failure to schedule which is due to the LDC Reallocation of gas which is subject to Seller’s use of RFT Service or IT Service, but excluding failure to schedule which is due to the LDC Reallocation of gas which is subject to Seller’s use of Firm Service, then such occurrence shall constitute a “</w:t>
      </w:r>
      <w:r>
        <w:rPr>
          <w:rFonts w:cs="Arial" w:ascii="Arial" w:hAnsi="Arial"/>
          <w:u w:val="single"/>
        </w:rPr>
        <w:t>Seller’s Deficiency Default</w:t>
      </w:r>
      <w:r>
        <w:rPr>
          <w:rFonts w:cs="Arial" w:ascii="Arial" w:hAnsi="Arial"/>
        </w:rPr>
        <w:t>” and “</w:t>
      </w:r>
      <w:r>
        <w:rPr>
          <w:rFonts w:cs="Arial" w:ascii="Arial" w:hAnsi="Arial"/>
          <w:u w:val="single"/>
        </w:rPr>
        <w:t>Seller’s Deficiency Quantity”</w:t>
      </w:r>
      <w:r>
        <w:rPr>
          <w:rFonts w:cs="Arial" w:ascii="Arial" w:hAnsi="Arial"/>
        </w:rPr>
        <w:t xml:space="preserve">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other than for the recall of Seller’s RFT Service or interruption of IT Service, then such occurrence shall constitute a “</w:t>
      </w:r>
      <w:r>
        <w:rPr>
          <w:rFonts w:cs="Arial" w:ascii="Arial" w:hAnsi="Arial"/>
          <w:u w:val="single"/>
        </w:rPr>
        <w:t xml:space="preserve">Buyer’s Deficiency Default </w:t>
      </w:r>
      <w:r>
        <w:rPr>
          <w:rFonts w:cs="Arial" w:ascii="Arial" w:hAnsi="Arial"/>
        </w:rPr>
        <w:t>“  and “</w:t>
      </w:r>
      <w:r>
        <w:rPr>
          <w:rFonts w:cs="Arial" w:ascii="Arial" w:hAnsi="Arial"/>
          <w:u w:val="single"/>
        </w:rPr>
        <w:t xml:space="preserve">Buyer’s Deficiency Quantity </w:t>
      </w:r>
      <w:r>
        <w:rPr>
          <w:rFonts w:cs="Arial" w:ascii="Arial" w:hAnsi="Arial"/>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cs="Arial" w:ascii="Arial" w:hAnsi="Arial"/>
          <w:u w:val="single"/>
        </w:rPr>
        <w:t xml:space="preserve">Replacement Price Differential </w:t>
      </w:r>
      <w:r>
        <w:rPr>
          <w:rFonts w:cs="Arial" w:ascii="Arial" w:hAnsi="Arial"/>
        </w:rPr>
        <w:t xml:space="preserve">“ means (i) in the event of a Seller’s Deficiency Default, the positive difference, if any, obtained by subtracting the Contract Price </w:t>
      </w:r>
      <w:r>
        <w:rPr>
          <w:rFonts w:cs="Arial" w:ascii="Arial" w:hAnsi="Arial"/>
          <w:u w:val="single"/>
        </w:rPr>
        <w:t>from</w:t>
      </w:r>
      <w:r>
        <w:rPr>
          <w:rFonts w:cs="Arial" w:ascii="Arial" w:hAnsi="Arial"/>
        </w:rPr>
        <w:t xml:space="preserve"> the Spot Price for the day in which the default occurred and (ii) in the event of a Buyer’s Deficiency Default, the positive difference, if any, obtained by subtracting the Spot Price for the day in which the default occurred  </w:t>
      </w:r>
      <w:r>
        <w:rPr>
          <w:rFonts w:cs="Arial" w:ascii="Arial" w:hAnsi="Arial"/>
          <w:u w:val="single"/>
        </w:rPr>
        <w:t>from</w:t>
      </w:r>
      <w:r>
        <w:rPr>
          <w:rFonts w:cs="Arial" w:ascii="Arial" w:hAnsi="Arial"/>
        </w:rPr>
        <w:t xml:space="preserve"> the Contract Price.  “</w:t>
      </w:r>
      <w:r>
        <w:rPr>
          <w:rFonts w:cs="Arial" w:ascii="Arial" w:hAnsi="Arial"/>
          <w:u w:val="single"/>
        </w:rPr>
        <w:t>Spot Price</w:t>
      </w:r>
      <w:r>
        <w:rPr>
          <w:rFonts w:cs="Arial" w:ascii="Arial" w:hAnsi="Arial"/>
        </w:rPr>
        <w:t xml:space="preserve">” means the price (or average of range of prices if no single price) set forth in </w:t>
      </w:r>
      <w:r>
        <w:rPr>
          <w:rFonts w:cs="Arial" w:ascii="Arial" w:hAnsi="Arial"/>
          <w:u w:val="single"/>
        </w:rPr>
        <w:t>Gas Daily</w:t>
      </w:r>
      <w:r>
        <w:rPr>
          <w:rFonts w:eastAsia="Symbol" w:cs="Symbol" w:ascii="Symbol" w:hAnsi="Symbol"/>
        </w:rPr>
        <w:sym w:font="Symbol" w:char="f0e2"/>
      </w:r>
      <w:r>
        <w:rPr>
          <w:rFonts w:cs="Arial" w:ascii="Arial" w:hAnsi="Arial"/>
        </w:rPr>
        <w:t xml:space="preserve"> (Pasha Publications, Inc.), or successor publication, in the column “Daily Price Survey” under the listing applicable to the geographic location closest in proximity to the Delivery Point(s</w:t>
      </w:r>
    </w:p>
    <w:p>
      <w:pPr>
        <w:pStyle w:val="Normal"/>
        <w:jc w:val="both"/>
        <w:rPr>
          <w:rFonts w:ascii="Arial" w:hAnsi="Arial" w:cs="Arial"/>
        </w:rPr>
      </w:pPr>
      <w:r>
        <w:rPr>
          <w:rFonts w:cs="Arial" w:ascii="Arial" w:hAnsi="Arial"/>
        </w:rPr>
      </w:r>
    </w:p>
    <w:p>
      <w:pPr>
        <w:pStyle w:val="Normal"/>
        <w:numPr>
          <w:ilvl w:val="1"/>
          <w:numId w:val="1"/>
        </w:numPr>
        <w:jc w:val="both"/>
        <w:rPr>
          <w:rFonts w:ascii="Arial" w:hAnsi="Arial" w:cs="Arial"/>
        </w:rPr>
      </w:pPr>
      <w:r>
        <w:rPr>
          <w:rFonts w:cs="Arial" w:ascii="Arial" w:hAnsi="Arial"/>
          <w:b/>
          <w:u w:val="single"/>
        </w:rPr>
        <w:t>Tier 3 Firm Gas.</w:t>
      </w:r>
      <w:r>
        <w:rPr>
          <w:rFonts w:cs="Arial" w:ascii="Arial" w:hAnsi="Arial"/>
        </w:rPr>
        <w:t xml:space="preserve">   Each of Seller and Buyer shall schedule at the Delivery Point(s) each day on a firm basis a quantity of gas equal to the DCQ.  If on any day Seller fails to schedule the DCQ, then such occurrence shall constitute a "</w:t>
      </w:r>
      <w:r>
        <w:rPr>
          <w:rFonts w:cs="Arial" w:ascii="Arial" w:hAnsi="Arial"/>
          <w:u w:val="single"/>
        </w:rPr>
        <w:t>Seller's Deficiency Default</w:t>
      </w:r>
      <w:r>
        <w:rPr>
          <w:rFonts w:cs="Arial" w:ascii="Arial" w:hAnsi="Arial"/>
        </w:rPr>
        <w:t>" and "</w:t>
      </w:r>
      <w:r>
        <w:rPr>
          <w:rFonts w:cs="Arial" w:ascii="Arial" w:hAnsi="Arial"/>
          <w:u w:val="single"/>
        </w:rPr>
        <w:t>Seller's Deficiency Quantity</w:t>
      </w:r>
      <w:r>
        <w:rPr>
          <w:rFonts w:cs="Arial" w:ascii="Arial" w:hAnsi="Arial"/>
        </w:rPr>
        <w:t>" shall be the numerical difference between the DCQ and the quantity of gas scheduled for such day.  In the event of a Seller's Deficiency Default, Seller shall pay Buyer an amount equal to the product of the Seller's Deficiency Quantity multiplied by the Replacement Price Differential.  If on any day Buyer fails to schedule the DCQ, then such occurrence shall constitute a "</w:t>
      </w:r>
      <w:r>
        <w:rPr>
          <w:rFonts w:cs="Arial" w:ascii="Arial" w:hAnsi="Arial"/>
          <w:u w:val="single"/>
        </w:rPr>
        <w:t>Buyer's Deficiency Default</w:t>
      </w:r>
      <w:r>
        <w:rPr>
          <w:rFonts w:cs="Arial" w:ascii="Arial" w:hAnsi="Arial"/>
        </w:rPr>
        <w:t>" and "</w:t>
      </w:r>
      <w:r>
        <w:rPr>
          <w:rFonts w:cs="Arial" w:ascii="Arial" w:hAnsi="Arial"/>
          <w:u w:val="single"/>
        </w:rPr>
        <w:t>Buyer's Deficiency Quantity</w:t>
      </w:r>
      <w:r>
        <w:rPr>
          <w:rFonts w:cs="Arial" w:ascii="Arial" w:hAnsi="Arial"/>
        </w:rPr>
        <w:t>" shall be the numerical difference between the DCQ and the quantity of gas scheduled for such day.  In the event of a Buyer's Deficiency Default, Buyer shall pay Seller an amount equal to the product of Buyer's Deficiency Quantity multiplied by the Replacement Price Differential.  "</w:t>
      </w:r>
      <w:r>
        <w:rPr>
          <w:rFonts w:cs="Arial" w:ascii="Arial" w:hAnsi="Arial"/>
          <w:u w:val="single"/>
        </w:rPr>
        <w:t>Replacement Price Differential</w:t>
      </w:r>
      <w:r>
        <w:rPr>
          <w:rFonts w:cs="Arial" w:ascii="Arial" w:hAnsi="Arial"/>
        </w:rPr>
        <w:t xml:space="preserve">" means (i) in the event of a Seller's Deficiency Default, the positive difference, if any, obtained by subtracting the Contract Price </w:t>
      </w:r>
      <w:r>
        <w:rPr>
          <w:rFonts w:cs="Arial" w:ascii="Arial" w:hAnsi="Arial"/>
          <w:u w:val="single"/>
        </w:rPr>
        <w:t>from</w:t>
      </w:r>
      <w:r>
        <w:rPr>
          <w:rFonts w:cs="Arial" w:ascii="Arial" w:hAnsi="Arial"/>
        </w:rPr>
        <w:t xml:space="preserve"> the Spot Price for the day in which the default occurred and (ii) in the event of a Buyer's Deficiency Default, the positive difference, if any, obtained by subtracting the Spot Price for the day in which the default occurred </w:t>
      </w:r>
      <w:r>
        <w:rPr>
          <w:rFonts w:cs="Arial" w:ascii="Arial" w:hAnsi="Arial"/>
          <w:u w:val="single"/>
        </w:rPr>
        <w:t>from</w:t>
      </w:r>
      <w:r>
        <w:rPr>
          <w:rFonts w:cs="Arial" w:ascii="Arial" w:hAnsi="Arial"/>
        </w:rPr>
        <w:t xml:space="preserve"> the Contract Price.  "</w:t>
      </w:r>
      <w:r>
        <w:rPr>
          <w:rFonts w:cs="Arial" w:ascii="Arial" w:hAnsi="Arial"/>
          <w:u w:val="single"/>
        </w:rPr>
        <w:t>Spot Price</w:t>
      </w:r>
      <w:r>
        <w:rPr>
          <w:rFonts w:cs="Arial" w:ascii="Arial" w:hAnsi="Arial"/>
        </w:rPr>
        <w:t xml:space="preserve">" means the price (or average of range of prices if no single price) set forth in </w:t>
      </w:r>
      <w:r>
        <w:rPr>
          <w:rFonts w:cs="Arial" w:ascii="Arial" w:hAnsi="Arial"/>
          <w:u w:val="single"/>
        </w:rPr>
        <w:t>Gas Daily</w:t>
      </w:r>
      <w:r>
        <w:rPr>
          <w:rFonts w:cs="Arial" w:ascii="Arial" w:hAnsi="Arial"/>
        </w:rPr>
        <w:t>® (Pasha Publications, Inc.), or successor publication, in the column "Daily Price Survey" under the listing applicable to the geographic location closest in proximity to the Delivery Point(s).</w:t>
      </w:r>
    </w:p>
    <w:p>
      <w:pPr>
        <w:pStyle w:val="Normal"/>
        <w:jc w:val="both"/>
        <w:rPr>
          <w:rFonts w:ascii="Arial" w:hAnsi="Arial" w:cs="Arial"/>
        </w:rPr>
      </w:pPr>
      <w:r>
        <w:rPr>
          <w:rFonts w:cs="Arial" w:ascii="Arial" w:hAnsi="Arial"/>
        </w:rPr>
      </w:r>
    </w:p>
    <w:p>
      <w:pPr>
        <w:pStyle w:val="Normal"/>
        <w:jc w:val="both"/>
        <w:rPr/>
      </w:pPr>
      <w:r>
        <w:rPr>
          <w:rFonts w:cs="Arial" w:ascii="Arial" w:hAnsi="Arial"/>
          <w:b/>
          <w:u w:val="single"/>
        </w:rPr>
        <w:t>2.4   Tier 4  Firm Gas with Penalty Coverage.</w:t>
      </w:r>
      <w:r>
        <w:rPr>
          <w:rFonts w:cs="Arial" w:ascii="Arial" w:hAnsi="Arial"/>
        </w:rPr>
        <w:t xml:space="preserve">   Each of Buyer and Seller shall have same performance obligations as set forth in Section 2.3., Tier 3 Firm Gas, except, in the case of a Seller’s Deficiency Default, Seller shall, in addition to the payments set forth in Section 2.3, pay directly, or reimburse Buyer for if Buyer has paid, any LDC penalties or cash outs assessed by the receiving LDC as result of Seller’s Deficiency Default.</w:t>
      </w:r>
    </w:p>
    <w:p>
      <w:pPr>
        <w:pStyle w:val="Normal"/>
        <w:rPr>
          <w:rFonts w:ascii="Arial" w:hAnsi="Arial" w:cs="Arial"/>
        </w:rPr>
      </w:pPr>
      <w:r>
        <w:rPr>
          <w:rFonts w:cs="Arial" w:ascii="Arial" w:hAnsi="Arial"/>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360"/>
        </w:tabs>
        <w:ind w:start="360" w:hanging="360"/>
      </w:pPr>
      <w:rPr>
        <w:u w:val="single"/>
      </w:rPr>
    </w:lvl>
    <w:lvl w:ilvl="1">
      <w:start w:val="1"/>
      <w:isLgl/>
      <w:numFmt w:val="decimal"/>
      <w:lvlText w:val="%1.%2."/>
      <w:lvlJc w:val="start"/>
      <w:pPr>
        <w:tabs>
          <w:tab w:val="num" w:pos="390"/>
        </w:tabs>
        <w:ind w:start="390" w:hanging="390"/>
      </w:pPr>
      <w:rPr>
        <w:u w:val="single"/>
        <w:b/>
      </w:rPr>
    </w:lvl>
    <w:lvl w:ilvl="2">
      <w:start w:val="1"/>
      <w:isLgl/>
      <w:numFmt w:val="decimal"/>
      <w:lvlText w:val="%1.%2.%3."/>
      <w:lvlJc w:val="start"/>
      <w:pPr>
        <w:tabs>
          <w:tab w:val="num" w:pos="720"/>
        </w:tabs>
        <w:ind w:start="720" w:hanging="720"/>
      </w:pPr>
      <w:rPr>
        <w:u w:val="single"/>
        <w:b/>
      </w:rPr>
    </w:lvl>
    <w:lvl w:ilvl="3">
      <w:start w:val="1"/>
      <w:isLgl/>
      <w:numFmt w:val="decimal"/>
      <w:lvlText w:val="%1.%2.%3.%4."/>
      <w:lvlJc w:val="start"/>
      <w:pPr>
        <w:tabs>
          <w:tab w:val="num" w:pos="720"/>
        </w:tabs>
        <w:ind w:start="720" w:hanging="720"/>
      </w:pPr>
      <w:rPr>
        <w:u w:val="single"/>
        <w:b/>
      </w:rPr>
    </w:lvl>
    <w:lvl w:ilvl="4">
      <w:start w:val="1"/>
      <w:isLgl/>
      <w:numFmt w:val="decimal"/>
      <w:lvlText w:val="%1.%2.%3.%4.%5."/>
      <w:lvlJc w:val="start"/>
      <w:pPr>
        <w:tabs>
          <w:tab w:val="num" w:pos="1080"/>
        </w:tabs>
        <w:ind w:start="1080" w:hanging="1080"/>
      </w:pPr>
      <w:rPr>
        <w:u w:val="single"/>
        <w:b/>
      </w:rPr>
    </w:lvl>
    <w:lvl w:ilvl="5">
      <w:start w:val="1"/>
      <w:isLgl/>
      <w:numFmt w:val="decimal"/>
      <w:lvlText w:val="%1.%2.%3.%4.%5.%6."/>
      <w:lvlJc w:val="start"/>
      <w:pPr>
        <w:tabs>
          <w:tab w:val="num" w:pos="1080"/>
        </w:tabs>
        <w:ind w:start="1080" w:hanging="1080"/>
      </w:pPr>
      <w:rPr>
        <w:u w:val="single"/>
        <w:b/>
      </w:rPr>
    </w:lvl>
    <w:lvl w:ilvl="6">
      <w:start w:val="1"/>
      <w:isLgl/>
      <w:numFmt w:val="decimal"/>
      <w:lvlText w:val="%1.%2.%3.%4.%5.%6.%7."/>
      <w:lvlJc w:val="start"/>
      <w:pPr>
        <w:tabs>
          <w:tab w:val="num" w:pos="1440"/>
        </w:tabs>
        <w:ind w:start="1440" w:hanging="1440"/>
      </w:pPr>
      <w:rPr>
        <w:u w:val="single"/>
        <w:b/>
      </w:rPr>
    </w:lvl>
    <w:lvl w:ilvl="7">
      <w:start w:val="1"/>
      <w:isLgl/>
      <w:numFmt w:val="decimal"/>
      <w:lvlText w:val="%1.%2.%3.%4.%5.%6.%7.%8."/>
      <w:lvlJc w:val="start"/>
      <w:pPr>
        <w:tabs>
          <w:tab w:val="num" w:pos="1440"/>
        </w:tabs>
        <w:ind w:start="1440" w:hanging="1440"/>
      </w:pPr>
      <w:rPr>
        <w:u w:val="single"/>
        <w:b/>
      </w:rPr>
    </w:lvl>
    <w:lvl w:ilvl="8">
      <w:start w:val="1"/>
      <w:isLgl/>
      <w:numFmt w:val="decimal"/>
      <w:lvlText w:val="%1.%2.%3.%4.%5.%6.%7.%8.%9."/>
      <w:lvlJc w:val="start"/>
      <w:pPr>
        <w:tabs>
          <w:tab w:val="num" w:pos="1800"/>
        </w:tabs>
        <w:ind w:start="1800" w:hanging="1800"/>
      </w:pPr>
      <w:rPr>
        <w:u w:val="single"/>
        <w:b/>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u w:val="single"/>
    </w:rPr>
  </w:style>
  <w:style w:type="character" w:styleId="WW8Num1z1">
    <w:name w:val="WW8Num1z1"/>
    <w:qFormat/>
    <w:rPr>
      <w:b/>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2000-09-21T11:03:00Z</dcterms:created>
  <dc:creator>cfinelli</dc:creator>
  <dc:description/>
  <dc:language>en-CA</dc:language>
  <cp:lastModifiedBy>cfinelli</cp:lastModifiedBy>
  <dcterms:modified xsi:type="dcterms:W3CDTF">2000-09-21T11:05:00Z</dcterms:modified>
  <cp:revision>1</cp:revision>
  <dc:subject/>
  <dc:title>2</dc:title>
</cp:coreProperties>
</file>