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r>
    </w:p>
    <w:p>
      <w:pPr>
        <w:pStyle w:val="BodyText"/>
        <w:ind w:start="3600" w:end="0"/>
        <w:rPr>
          <w:rFonts w:ascii="Arial" w:hAnsi="Arial" w:cs="Arial"/>
        </w:rPr>
      </w:pPr>
      <w:r>
        <w:rPr>
          <w:rFonts w:cs="Arial" w:ascii="Arial" w:hAnsi="Arial"/>
        </w:rPr>
        <w:t>October 23, 2001</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Normal"/>
        <w:ind w:hanging="1440" w:start="1440" w:end="0"/>
        <w:rPr>
          <w:rFonts w:ascii="Arial" w:hAnsi="Arial" w:cs="Arial"/>
        </w:rPr>
      </w:pPr>
      <w:r>
        <w:rPr>
          <w:rFonts w:cs="Arial" w:ascii="Arial" w:hAnsi="Arial"/>
        </w:rPr>
        <w:t>Jon R. Stickman</w:t>
      </w:r>
    </w:p>
    <w:p>
      <w:pPr>
        <w:pStyle w:val="Normal"/>
        <w:ind w:hanging="1440" w:start="1440" w:end="0"/>
        <w:rPr>
          <w:rFonts w:ascii="Arial" w:hAnsi="Arial" w:cs="Arial"/>
        </w:rPr>
      </w:pPr>
      <w:r>
        <w:rPr>
          <w:rFonts w:cs="Arial" w:ascii="Arial" w:hAnsi="Arial"/>
        </w:rPr>
        <w:t>Duncan &amp; Allen</w:t>
      </w:r>
    </w:p>
    <w:p>
      <w:pPr>
        <w:pStyle w:val="Normal"/>
        <w:ind w:hanging="1440" w:start="1440" w:end="0"/>
        <w:rPr>
          <w:rFonts w:ascii="Arial" w:hAnsi="Arial" w:cs="Arial"/>
        </w:rPr>
      </w:pPr>
      <w:r>
        <w:rPr>
          <w:rFonts w:cs="Arial" w:ascii="Arial" w:hAnsi="Arial"/>
        </w:rPr>
        <w:t>1575 I St., N.W., Suite 300</w:t>
      </w:r>
    </w:p>
    <w:p>
      <w:pPr>
        <w:pStyle w:val="PleadingSignature"/>
        <w:ind w:hanging="360" w:start="360" w:end="0"/>
        <w:rPr>
          <w:rFonts w:ascii="Arial" w:hAnsi="Arial" w:cs="Arial"/>
        </w:rPr>
      </w:pPr>
      <w:r>
        <w:rPr>
          <w:rFonts w:cs="Arial" w:ascii="Arial" w:hAnsi="Arial"/>
        </w:rPr>
        <w:t>Washington, D.C. 20008</w:t>
      </w:r>
    </w:p>
    <w:p>
      <w:pPr>
        <w:pStyle w:val="BodyText"/>
        <w:rPr>
          <w:rFonts w:ascii="Arial" w:hAnsi="Arial" w:cs="Arial"/>
        </w:rPr>
      </w:pPr>
      <w:r>
        <w:rPr>
          <w:rFonts w:cs="Arial" w:ascii="Arial" w:hAnsi="Arial"/>
        </w:rPr>
      </w:r>
    </w:p>
    <w:p>
      <w:pPr>
        <w:pStyle w:val="BodyText"/>
        <w:spacing w:before="0" w:after="0"/>
        <w:ind w:start="720" w:end="0"/>
        <w:rPr>
          <w:rFonts w:ascii="Arial" w:hAnsi="Arial" w:cs="Arial"/>
          <w:b/>
        </w:rPr>
      </w:pPr>
      <w:r>
        <w:rPr>
          <w:rFonts w:cs="Arial" w:ascii="Arial" w:hAnsi="Arial"/>
          <w:b/>
        </w:rPr>
        <w:t>Re:</w:t>
        <w:tab/>
        <w:t xml:space="preserve">California ISO’s Partial Response to Turlock’s </w:t>
      </w:r>
    </w:p>
    <w:p>
      <w:pPr>
        <w:pStyle w:val="BodyText"/>
        <w:spacing w:before="0" w:after="0"/>
        <w:ind w:start="1440" w:end="0"/>
        <w:rPr>
          <w:rFonts w:ascii="Arial" w:hAnsi="Arial" w:cs="Arial"/>
          <w:b/>
        </w:rPr>
      </w:pPr>
      <w:r>
        <w:rPr>
          <w:rFonts w:cs="Arial" w:ascii="Arial" w:hAnsi="Arial"/>
          <w:b/>
        </w:rPr>
        <w:t>Request for Admissions and First Set of Interrogatories and Request for Data and Document Production</w:t>
      </w:r>
    </w:p>
    <w:p>
      <w:pPr>
        <w:pStyle w:val="BodyText"/>
        <w:spacing w:before="0" w:after="0"/>
        <w:ind w:start="720" w:end="0"/>
        <w:rPr>
          <w:rFonts w:ascii="Arial" w:hAnsi="Arial" w:cs="Arial"/>
          <w:b/>
        </w:rPr>
      </w:pPr>
      <w:r>
        <w:rPr>
          <w:rFonts w:eastAsia="Arial" w:cs="Arial" w:ascii="Arial" w:hAnsi="Arial"/>
          <w:b/>
        </w:rPr>
        <w:t xml:space="preserve">      </w:t>
      </w:r>
      <w:r>
        <w:rPr>
          <w:rFonts w:cs="Arial" w:ascii="Arial" w:hAnsi="Arial"/>
          <w:b/>
        </w:rPr>
        <w:tab/>
        <w:t>San Diego Gas &amp; Electric Co., et al.</w:t>
      </w:r>
    </w:p>
    <w:p>
      <w:pPr>
        <w:pStyle w:val="BodyText"/>
        <w:spacing w:before="0" w:after="0"/>
        <w:ind w:start="720" w:end="0"/>
        <w:rPr>
          <w:rFonts w:ascii="Arial" w:hAnsi="Arial" w:cs="Arial"/>
          <w:b/>
        </w:rPr>
      </w:pPr>
      <w:r>
        <w:rPr>
          <w:rFonts w:cs="Arial" w:ascii="Arial" w:hAnsi="Arial"/>
          <w:b/>
        </w:rPr>
        <w:tab/>
        <w:t>Docket Nos. EL00-95-045, et al.</w:t>
      </w:r>
    </w:p>
    <w:p>
      <w:pPr>
        <w:pStyle w:val="BodyText"/>
        <w:spacing w:before="0" w:after="0"/>
        <w:rPr>
          <w:rFonts w:ascii="Arial" w:hAnsi="Arial" w:cs="Arial"/>
          <w:b/>
        </w:rPr>
      </w:pPr>
      <w:r>
        <w:rPr>
          <w:rFonts w:cs="Arial" w:ascii="Arial" w:hAnsi="Arial"/>
          <w:b/>
        </w:rPr>
      </w:r>
    </w:p>
    <w:p>
      <w:pPr>
        <w:pStyle w:val="BodyText"/>
        <w:spacing w:before="0" w:after="0"/>
        <w:rPr>
          <w:rFonts w:ascii="Arial" w:hAnsi="Arial" w:cs="Arial"/>
        </w:rPr>
      </w:pPr>
      <w:r>
        <w:rPr>
          <w:rFonts w:cs="Arial" w:ascii="Arial" w:hAnsi="Arial"/>
        </w:rPr>
        <w:t>Dear Mr. Stickman:</w:t>
      </w:r>
    </w:p>
    <w:p>
      <w:pPr>
        <w:pStyle w:val="BodyText"/>
        <w:spacing w:before="0" w:after="0"/>
        <w:rPr>
          <w:rFonts w:ascii="Arial" w:hAnsi="Arial" w:cs="Arial"/>
        </w:rPr>
      </w:pPr>
      <w:r>
        <w:rPr>
          <w:rFonts w:cs="Arial" w:ascii="Arial" w:hAnsi="Arial"/>
        </w:rPr>
        <w:tab/>
      </w:r>
    </w:p>
    <w:p>
      <w:pPr>
        <w:pStyle w:val="BodyText"/>
        <w:spacing w:before="0" w:after="0"/>
        <w:ind w:firstLine="720" w:end="0"/>
        <w:rPr>
          <w:rFonts w:ascii="Arial" w:hAnsi="Arial" w:cs="Arial"/>
        </w:rPr>
      </w:pPr>
      <w:r>
        <w:rPr>
          <w:rFonts w:cs="Arial" w:ascii="Arial" w:hAnsi="Arial"/>
        </w:rPr>
        <w:t>Enclosed please find the Partial Response of the California Independent System Operator Corporation to the Turlock Irrigation District’s Request for Admissions and First Set of Interrogatories and Request for Data and Document Production.</w:t>
      </w:r>
    </w:p>
    <w:p>
      <w:pPr>
        <w:pStyle w:val="BodyText"/>
        <w:spacing w:before="0" w:after="0"/>
        <w:rPr>
          <w:rFonts w:ascii="Arial" w:hAnsi="Arial" w:cs="Arial"/>
        </w:rPr>
      </w:pPr>
      <w:r>
        <w:rPr>
          <w:rFonts w:cs="Arial" w:ascii="Arial" w:hAnsi="Arial"/>
        </w:rPr>
      </w:r>
    </w:p>
    <w:p>
      <w:pPr>
        <w:pStyle w:val="BodyText"/>
        <w:spacing w:before="0" w:after="0"/>
        <w:ind w:firstLine="720" w:end="0"/>
        <w:rPr>
          <w:rFonts w:ascii="Arial" w:hAnsi="Arial" w:cs="Arial"/>
        </w:rPr>
      </w:pPr>
      <w:r>
        <w:rPr>
          <w:rFonts w:cs="Arial" w:ascii="Arial" w:hAnsi="Arial"/>
        </w:rPr>
        <w:t>Included are responses to Requests 1 through 8.  If you have any questions or concerns relating to these responses, please do not hesitate to contact me at (202) 295-8465.</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ab/>
        <w:tab/>
        <w:tab/>
        <w:tab/>
        <w:tab/>
        <w:tab/>
        <w:t>Yours truly,</w:t>
      </w:r>
    </w:p>
    <w:p>
      <w:pPr>
        <w:pStyle w:val="BodyText"/>
        <w:spacing w:before="0" w:after="0"/>
        <w:rPr>
          <w:rFonts w:ascii="Arial" w:hAnsi="Arial" w:cs="Arial"/>
        </w:rPr>
      </w:pPr>
      <w:r>
        <w:rPr>
          <w:rFonts w:cs="Arial" w:ascii="Arial" w:hAnsi="Arial"/>
        </w:rPr>
      </w:r>
    </w:p>
    <w:p>
      <w:pPr>
        <w:pStyle w:val="BodyText"/>
        <w:spacing w:before="0" w:after="0"/>
        <w:rPr>
          <w:rFonts w:ascii="Arial" w:hAnsi="Arial" w:cs="Arial"/>
        </w:rPr>
      </w:pPr>
      <w:r>
        <w:rPr>
          <w:rFonts w:cs="Arial" w:ascii="Arial" w:hAnsi="Arial"/>
        </w:rPr>
      </w:r>
    </w:p>
    <w:p>
      <w:pPr>
        <w:pStyle w:val="BodyText"/>
        <w:spacing w:before="0" w:after="0"/>
        <w:rPr>
          <w:rFonts w:ascii="Arial" w:hAnsi="Arial" w:cs="Arial"/>
        </w:rPr>
      </w:pPr>
      <w:r>
        <w:rPr>
          <w:rFonts w:cs="Arial" w:ascii="Arial" w:hAnsi="Arial"/>
        </w:rPr>
        <w:tab/>
        <w:tab/>
        <w:tab/>
        <w:tab/>
        <w:tab/>
        <w:tab/>
        <w:t>Michael Kunselman</w:t>
        <w:tab/>
      </w:r>
    </w:p>
    <w:p>
      <w:pPr>
        <w:pStyle w:val="BodyText"/>
        <w:spacing w:before="0" w:after="0"/>
        <w:rPr>
          <w:rFonts w:ascii="Arial" w:hAnsi="Arial" w:cs="Arial"/>
        </w:rPr>
      </w:pPr>
      <w:r>
        <w:rPr>
          <w:rFonts w:cs="Arial" w:ascii="Arial" w:hAnsi="Arial"/>
        </w:rPr>
      </w:r>
    </w:p>
    <w:p>
      <w:pPr>
        <w:pStyle w:val="BodyText"/>
        <w:spacing w:before="0" w:after="0"/>
        <w:rPr>
          <w:rFonts w:ascii="Arial" w:hAnsi="Arial" w:cs="Arial"/>
        </w:rPr>
      </w:pPr>
      <w:r>
        <w:rPr>
          <w:rFonts w:cs="Arial" w:ascii="Arial" w:hAnsi="Arial"/>
        </w:rPr>
        <w:tab/>
        <w:tab/>
        <w:tab/>
        <w:tab/>
        <w:tab/>
        <w:tab/>
        <w:t xml:space="preserve">Counsel for the California Independent </w:t>
      </w:r>
    </w:p>
    <w:p>
      <w:pPr>
        <w:pStyle w:val="BodyText"/>
        <w:spacing w:before="0" w:after="0"/>
        <w:ind w:firstLine="720" w:end="0"/>
        <w:rPr>
          <w:rFonts w:ascii="Arial" w:hAnsi="Arial" w:cs="Arial"/>
        </w:rPr>
      </w:pPr>
      <w:r>
        <w:rPr>
          <w:rFonts w:eastAsia="Arial" w:cs="Arial" w:ascii="Arial" w:hAnsi="Arial"/>
        </w:rPr>
        <w:t xml:space="preserve">  </w:t>
      </w:r>
      <w:r>
        <w:rPr>
          <w:rFonts w:cs="Arial" w:ascii="Arial" w:hAnsi="Arial"/>
        </w:rPr>
        <w:tab/>
        <w:tab/>
        <w:tab/>
        <w:t xml:space="preserve">  </w:t>
        <w:tab/>
        <w:t xml:space="preserve">  </w:t>
        <w:tab/>
        <w:t xml:space="preserve">  System Operator Corporation</w:t>
      </w:r>
    </w:p>
    <w:p>
      <w:pPr>
        <w:pStyle w:val="Normal"/>
        <w:rPr>
          <w:rFonts w:ascii="Arial" w:hAnsi="Arial" w:cs="Arial"/>
        </w:rPr>
      </w:pPr>
      <w:r>
        <w:rPr>
          <w:rFonts w:cs="Arial" w:ascii="Arial" w:hAnsi="Arial"/>
        </w:rPr>
        <w:t>Enclosure</w:t>
      </w:r>
    </w:p>
    <w:p>
      <w:pPr>
        <w:pStyle w:val="Heading"/>
        <w:spacing w:before="240" w:after="0"/>
        <w:rPr>
          <w:rFonts w:ascii="Arial" w:hAnsi="Arial" w:cs="Arial"/>
          <w:sz w:val="24"/>
        </w:rPr>
      </w:pPr>
      <w:r>
        <w:rPr>
          <w:rFonts w:cs="Arial" w:ascii="Arial" w:hAnsi="Arial"/>
          <w:sz w:val="24"/>
        </w:rPr>
      </w:r>
    </w:p>
    <w:p>
      <w:pPr>
        <w:pStyle w:val="Heading"/>
        <w:spacing w:before="240" w:after="0"/>
        <w:rPr>
          <w:rFonts w:ascii="Arial" w:hAnsi="Arial" w:cs="Arial"/>
          <w:sz w:val="24"/>
        </w:rPr>
      </w:pPr>
      <w:r>
        <w:rPr>
          <w:rFonts w:cs="Arial" w:ascii="Arial" w:hAnsi="Arial"/>
          <w:sz w:val="24"/>
        </w:rPr>
        <w:t>UNITED STATES OF AMERICA</w:t>
      </w:r>
    </w:p>
    <w:p>
      <w:pPr>
        <w:pStyle w:val="Normal"/>
        <w:jc w:val="center"/>
        <w:rPr>
          <w:rFonts w:ascii="Arial" w:hAnsi="Arial" w:cs="Arial"/>
          <w:b/>
        </w:rPr>
      </w:pPr>
      <w:r>
        <w:rPr>
          <w:rFonts w:cs="Arial" w:ascii="Arial" w:hAnsi="Arial"/>
          <w:b/>
        </w:rPr>
        <w:t>BEFORE THE</w:t>
      </w:r>
    </w:p>
    <w:p>
      <w:pPr>
        <w:pStyle w:val="Normal"/>
        <w:jc w:val="center"/>
        <w:rPr>
          <w:rFonts w:ascii="Arial" w:hAnsi="Arial" w:cs="Arial"/>
        </w:rPr>
      </w:pPr>
      <w:r>
        <w:rPr>
          <w:rFonts w:cs="Arial" w:ascii="Arial" w:hAnsi="Arial"/>
          <w:b/>
        </w:rPr>
        <w:t>FEDERAL ENERGY REGULATORY COMMISSION</w:t>
      </w:r>
    </w:p>
    <w:p>
      <w:pPr>
        <w:pStyle w:val="Normal"/>
        <w:rPr>
          <w:rFonts w:ascii="Arial" w:hAnsi="Arial" w:cs="Arial"/>
        </w:rPr>
      </w:pPr>
      <w:r>
        <w:rPr>
          <w:rFonts w:cs="Arial" w:ascii="Arial" w:hAnsi="Arial"/>
        </w:rPr>
      </w:r>
    </w:p>
    <w:p>
      <w:pPr>
        <w:pStyle w:val="Normal"/>
        <w:tabs>
          <w:tab w:val="clear" w:pos="720"/>
          <w:tab w:val="left" w:pos="-1440" w:leader="none"/>
        </w:tabs>
        <w:ind w:hanging="1080" w:start="1440" w:end="0"/>
        <w:rPr>
          <w:rFonts w:ascii="Arial" w:hAnsi="Arial" w:cs="Arial"/>
        </w:rPr>
      </w:pPr>
      <w:r>
        <w:rPr>
          <w:rFonts w:cs="Arial" w:ascii="Arial" w:hAnsi="Arial"/>
        </w:rPr>
        <w:tab/>
      </w:r>
    </w:p>
    <w:p>
      <w:pPr>
        <w:pStyle w:val="Normal"/>
        <w:rPr>
          <w:rFonts w:ascii="Arial" w:hAnsi="Arial" w:cs="Arial"/>
          <w:b/>
        </w:rPr>
      </w:pPr>
      <w:r>
        <w:rPr>
          <w:rFonts w:cs="Arial" w:ascii="Arial" w:hAnsi="Arial"/>
          <w:b/>
        </w:rPr>
        <w:t>San Diego Gas &amp; Electric Company,</w:t>
        <w:tab/>
        <w:tab/>
        <w:t>)</w:t>
      </w:r>
    </w:p>
    <w:p>
      <w:pPr>
        <w:pStyle w:val="Normal"/>
        <w:rPr>
          <w:rFonts w:ascii="Arial" w:hAnsi="Arial" w:cs="Arial"/>
          <w:b/>
        </w:rPr>
      </w:pPr>
      <w:r>
        <w:rPr>
          <w:rFonts w:cs="Arial" w:ascii="Arial" w:hAnsi="Arial"/>
          <w:b/>
        </w:rPr>
        <w:tab/>
        <w:tab/>
        <w:tab/>
        <w:t>Complainant,</w:t>
        <w:tab/>
        <w:tab/>
        <w:t>)</w:t>
      </w:r>
    </w:p>
    <w:p>
      <w:pPr>
        <w:pStyle w:val="Normal"/>
        <w:rPr>
          <w:rFonts w:ascii="Arial" w:hAnsi="Arial" w:cs="Arial"/>
          <w:b/>
        </w:rPr>
      </w:pPr>
      <w:r>
        <w:rPr>
          <w:rFonts w:cs="Arial" w:ascii="Arial" w:hAnsi="Arial"/>
          <w:b/>
        </w:rPr>
        <w:tab/>
        <w:tab/>
        <w:tab/>
        <w:tab/>
        <w:tab/>
        <w:tab/>
        <w:tab/>
        <w:t>)</w:t>
      </w:r>
    </w:p>
    <w:p>
      <w:pPr>
        <w:pStyle w:val="Normal"/>
        <w:rPr>
          <w:rFonts w:ascii="Arial" w:hAnsi="Arial" w:cs="Arial"/>
          <w:b/>
        </w:rPr>
      </w:pPr>
      <w:r>
        <w:rPr>
          <w:rFonts w:cs="Arial" w:ascii="Arial" w:hAnsi="Arial"/>
          <w:b/>
        </w:rPr>
        <w:tab/>
        <w:tab/>
        <w:t>v.</w:t>
        <w:tab/>
        <w:tab/>
        <w:tab/>
        <w:tab/>
        <w:tab/>
        <w:t>)</w:t>
        <w:tab/>
        <w:t>Docket No. EL00-95-045</w:t>
      </w:r>
    </w:p>
    <w:p>
      <w:pPr>
        <w:pStyle w:val="Normal"/>
        <w:rPr>
          <w:rFonts w:ascii="Arial" w:hAnsi="Arial" w:cs="Arial"/>
          <w:b/>
        </w:rPr>
      </w:pPr>
      <w:r>
        <w:rPr>
          <w:rFonts w:cs="Arial" w:ascii="Arial" w:hAnsi="Arial"/>
          <w:b/>
        </w:rPr>
        <w:tab/>
        <w:tab/>
        <w:tab/>
        <w:tab/>
        <w:tab/>
        <w:tab/>
        <w:tab/>
        <w:t>)</w:t>
      </w:r>
    </w:p>
    <w:p>
      <w:pPr>
        <w:pStyle w:val="Normal"/>
        <w:tabs>
          <w:tab w:val="clear" w:pos="720"/>
          <w:tab w:val="left" w:pos="4680" w:leader="none"/>
        </w:tabs>
        <w:rPr>
          <w:rFonts w:ascii="Arial" w:hAnsi="Arial" w:cs="Arial"/>
          <w:b/>
        </w:rPr>
      </w:pPr>
      <w:r>
        <w:rPr>
          <w:rFonts w:cs="Arial" w:ascii="Arial" w:hAnsi="Arial"/>
          <w:b/>
        </w:rPr>
        <w:t>Sellers of Energy and Ancillary Services</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Into Markets Operated by the California</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Independent System Operator and the</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 xml:space="preserve">California Power Exchange, </w:t>
        <w:tab/>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Respondents.</w:t>
        <w:tab/>
        <w:tab/>
        <w:t>)</w:t>
      </w:r>
    </w:p>
    <w:p>
      <w:pPr>
        <w:pStyle w:val="Normal"/>
        <w:tabs>
          <w:tab w:val="clear" w:pos="720"/>
          <w:tab w:val="left" w:pos="4680" w:leader="none"/>
        </w:tabs>
        <w:rPr>
          <w:rFonts w:ascii="Arial" w:hAnsi="Arial" w:cs="Arial"/>
          <w:b/>
        </w:rPr>
      </w:pPr>
      <w:r>
        <w:rPr>
          <w:rFonts w:cs="Arial" w:ascii="Arial" w:hAnsi="Arial"/>
          <w:b/>
        </w:rPr>
        <w:tab/>
        <w:tab/>
        <w:t>)</w:t>
      </w:r>
    </w:p>
    <w:p>
      <w:pPr>
        <w:pStyle w:val="Normal"/>
        <w:tabs>
          <w:tab w:val="clear" w:pos="720"/>
          <w:tab w:val="left" w:pos="4680" w:leader="none"/>
        </w:tabs>
        <w:rPr>
          <w:rFonts w:ascii="Arial" w:hAnsi="Arial" w:cs="Arial"/>
          <w:b/>
        </w:rPr>
      </w:pPr>
      <w:r>
        <w:rPr>
          <w:rFonts w:cs="Arial" w:ascii="Arial" w:hAnsi="Arial"/>
          <w:b/>
        </w:rPr>
        <w:t>Investigation of Practices of the California</w:t>
        <w:tab/>
        <w:t>)</w:t>
      </w:r>
    </w:p>
    <w:p>
      <w:pPr>
        <w:pStyle w:val="Normal"/>
        <w:tabs>
          <w:tab w:val="clear" w:pos="720"/>
          <w:tab w:val="left" w:pos="4680" w:leader="none"/>
        </w:tabs>
        <w:rPr>
          <w:rFonts w:ascii="Arial" w:hAnsi="Arial" w:cs="Arial"/>
          <w:b/>
        </w:rPr>
      </w:pPr>
      <w:r>
        <w:rPr>
          <w:rFonts w:eastAsia="Arial" w:cs="Arial" w:ascii="Arial" w:hAnsi="Arial"/>
          <w:b/>
        </w:rPr>
        <w:t xml:space="preserve">  </w:t>
      </w:r>
      <w:r>
        <w:rPr>
          <w:rFonts w:cs="Arial" w:ascii="Arial" w:hAnsi="Arial"/>
          <w:b/>
        </w:rPr>
        <w:t>Independent System Operator and the</w:t>
        <w:tab/>
        <w:tab/>
        <w:t>)</w:t>
        <w:tab/>
        <w:t>Docket No. EL00-98-042</w:t>
      </w:r>
    </w:p>
    <w:p>
      <w:pPr>
        <w:pStyle w:val="Normal"/>
        <w:tabs>
          <w:tab w:val="clear" w:pos="720"/>
          <w:tab w:val="left" w:pos="-1440" w:leader="none"/>
        </w:tabs>
        <w:ind w:hanging="720" w:start="1440" w:end="0"/>
        <w:rPr>
          <w:rFonts w:ascii="Arial" w:hAnsi="Arial" w:cs="Arial"/>
        </w:rPr>
      </w:pPr>
      <w:r>
        <w:rPr>
          <w:rFonts w:eastAsia="Arial" w:cs="Arial" w:ascii="Arial" w:hAnsi="Arial"/>
          <w:b/>
        </w:rPr>
        <w:t xml:space="preserve">  </w:t>
      </w:r>
      <w:r>
        <w:rPr>
          <w:rFonts w:cs="Arial" w:ascii="Arial" w:hAnsi="Arial"/>
          <w:b/>
        </w:rPr>
        <w:t>California Power Exchange</w:t>
        <w:tab/>
        <w:tab/>
        <w:t>)</w:t>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rPr>
          <w:rFonts w:ascii="Arial" w:hAnsi="Arial" w:cs="Arial"/>
        </w:rPr>
      </w:pPr>
      <w:r>
        <w:rPr>
          <w:rFonts w:cs="Arial" w:ascii="Arial" w:hAnsi="Arial"/>
        </w:rPr>
      </w:r>
    </w:p>
    <w:p>
      <w:pPr>
        <w:pStyle w:val="Normal"/>
        <w:tabs>
          <w:tab w:val="clear" w:pos="720"/>
          <w:tab w:val="left" w:pos="-1440" w:leader="none"/>
        </w:tabs>
        <w:ind w:hanging="720" w:start="1440" w:end="0"/>
        <w:rPr>
          <w:rFonts w:ascii="Arial" w:hAnsi="Arial" w:cs="Arial"/>
        </w:rPr>
      </w:pPr>
      <w:r>
        <w:rPr>
          <w:rFonts w:cs="Arial" w:ascii="Arial" w:hAnsi="Arial"/>
        </w:rPr>
      </w:r>
    </w:p>
    <w:p>
      <w:pPr>
        <w:pStyle w:val="Header"/>
        <w:jc w:val="center"/>
        <w:rPr>
          <w:rFonts w:ascii="Arial" w:hAnsi="Arial" w:cs="Arial"/>
          <w:b/>
        </w:rPr>
      </w:pPr>
      <w:r>
        <w:rPr>
          <w:rFonts w:cs="Arial" w:ascii="Arial" w:hAnsi="Arial"/>
          <w:b/>
        </w:rPr>
        <w:t xml:space="preserve">PARTIAL RESPONSE OF THE </w:t>
      </w:r>
    </w:p>
    <w:p>
      <w:pPr>
        <w:pStyle w:val="Header"/>
        <w:jc w:val="center"/>
        <w:rPr>
          <w:rFonts w:ascii="Arial" w:hAnsi="Arial" w:cs="Arial"/>
          <w:b/>
        </w:rPr>
      </w:pPr>
      <w:r>
        <w:rPr>
          <w:rFonts w:cs="Arial" w:ascii="Arial" w:hAnsi="Arial"/>
          <w:b/>
        </w:rPr>
        <w:t xml:space="preserve">CALIFORNIA INDEPENDENT SYSTEM OPERATOR CORPORATION </w:t>
      </w:r>
    </w:p>
    <w:p>
      <w:pPr>
        <w:pStyle w:val="Header"/>
        <w:jc w:val="center"/>
        <w:rPr>
          <w:rFonts w:ascii="Arial" w:hAnsi="Arial" w:cs="Arial"/>
          <w:b/>
        </w:rPr>
      </w:pPr>
      <w:r>
        <w:rPr>
          <w:rFonts w:cs="Arial" w:ascii="Arial" w:hAnsi="Arial"/>
          <w:b/>
        </w:rPr>
        <w:t>TO THE TURLOCK IRRIGIATION DISTRICT’S</w:t>
      </w:r>
    </w:p>
    <w:p>
      <w:pPr>
        <w:pStyle w:val="Header"/>
        <w:jc w:val="center"/>
        <w:rPr>
          <w:rFonts w:ascii="Arial" w:hAnsi="Arial" w:cs="Arial"/>
          <w:b/>
          <w:caps/>
        </w:rPr>
      </w:pPr>
      <w:r>
        <w:rPr>
          <w:rFonts w:cs="Arial" w:ascii="Arial" w:hAnsi="Arial"/>
          <w:b/>
          <w:caps/>
        </w:rPr>
        <w:t xml:space="preserve">Request for Admissions and First Set of Interrogatories </w:t>
      </w:r>
    </w:p>
    <w:p>
      <w:pPr>
        <w:sectPr>
          <w:headerReference w:type="default" r:id="rId2"/>
          <w:headerReference w:type="first" r:id="rId3"/>
          <w:type w:val="nextPage"/>
          <w:pgSz w:w="12240" w:h="15840"/>
          <w:pgMar w:left="1800" w:right="1440" w:gutter="0" w:header="720" w:top="1440" w:footer="0" w:bottom="1800"/>
          <w:pgNumType w:fmt="decimal"/>
          <w:formProt w:val="false"/>
          <w:titlePg/>
          <w:textDirection w:val="lrTb"/>
          <w:docGrid w:type="default" w:linePitch="360" w:charSpace="0"/>
        </w:sectPr>
        <w:pStyle w:val="Header"/>
        <w:jc w:val="center"/>
        <w:rPr>
          <w:rFonts w:ascii="Arial" w:hAnsi="Arial" w:cs="Arial"/>
          <w:b/>
          <w:caps/>
        </w:rPr>
      </w:pPr>
      <w:r>
        <w:rPr>
          <w:rFonts w:cs="Arial" w:ascii="Arial" w:hAnsi="Arial"/>
          <w:b/>
          <w:caps/>
        </w:rPr>
        <w:t>and Request for Data and Document Production</w:t>
      </w:r>
    </w:p>
    <w:p>
      <w:pPr>
        <w:pStyle w:val="Header"/>
        <w:jc w:val="center"/>
        <w:rPr>
          <w:rFonts w:ascii="Arial" w:hAnsi="Arial" w:cs="Arial"/>
          <w:b/>
          <w:caps/>
          <w:u w:val="single"/>
        </w:rPr>
      </w:pPr>
      <w:r>
        <w:rPr>
          <w:rFonts w:cs="Arial" w:ascii="Arial" w:hAnsi="Arial"/>
          <w:b/>
          <w:caps/>
          <w:u w:val="single"/>
        </w:rPr>
      </w:r>
    </w:p>
    <w:p>
      <w:pPr>
        <w:pStyle w:val="Header"/>
        <w:tabs>
          <w:tab w:val="clear" w:pos="4680"/>
          <w:tab w:val="clear" w:pos="9000"/>
        </w:tabs>
        <w:rPr>
          <w:rFonts w:ascii="Arial" w:hAnsi="Arial" w:cs="Arial"/>
          <w:b/>
          <w:u w:val="single"/>
        </w:rPr>
      </w:pPr>
      <w:r>
        <w:rPr>
          <w:rFonts w:cs="Arial" w:ascii="Arial" w:hAnsi="Arial"/>
          <w:b/>
          <w:u w:val="single"/>
        </w:rPr>
        <w:t>REQUEST FOR ADMISSIONS</w:t>
      </w:r>
    </w:p>
    <w:p>
      <w:pPr>
        <w:pStyle w:val="Header"/>
        <w:tabs>
          <w:tab w:val="clear" w:pos="4680"/>
          <w:tab w:val="clear" w:pos="9000"/>
        </w:tabs>
        <w:rPr>
          <w:rFonts w:ascii="Arial" w:hAnsi="Arial" w:cs="Arial"/>
          <w:b/>
          <w:u w:val="single"/>
        </w:rPr>
      </w:pPr>
      <w:r>
        <w:rPr>
          <w:rFonts w:cs="Arial" w:ascii="Arial" w:hAnsi="Arial"/>
          <w:b/>
          <w:u w:val="single"/>
        </w:rPr>
      </w:r>
    </w:p>
    <w:p>
      <w:pPr>
        <w:pStyle w:val="BodyText"/>
        <w:numPr>
          <w:ilvl w:val="0"/>
          <w:numId w:val="3"/>
        </w:numPr>
        <w:tabs>
          <w:tab w:val="left" w:pos="720" w:leader="none"/>
        </w:tabs>
        <w:spacing w:before="0" w:after="0"/>
        <w:ind w:hanging="720" w:start="720" w:end="0"/>
        <w:rPr>
          <w:rFonts w:ascii="Arial" w:hAnsi="Arial" w:cs="Arial"/>
        </w:rPr>
      </w:pPr>
      <w:r>
        <w:rPr>
          <w:rFonts w:cs="Arial" w:ascii="Arial" w:hAnsi="Arial"/>
        </w:rPr>
        <w:t>Admit that Turlock is a political subdivision of the State of California.</w:t>
      </w:r>
    </w:p>
    <w:p>
      <w:pPr>
        <w:pStyle w:val="BodyText"/>
        <w:spacing w:before="0" w:after="0"/>
        <w:rPr>
          <w:rFonts w:ascii="Arial" w:hAnsi="Arial" w:cs="Arial"/>
        </w:rPr>
      </w:pPr>
      <w:r>
        <w:rPr>
          <w:rFonts w:cs="Arial" w:ascii="Arial" w:hAnsi="Arial"/>
        </w:rPr>
      </w:r>
    </w:p>
    <w:p>
      <w:pPr>
        <w:pStyle w:val="BodyText"/>
        <w:spacing w:before="0" w:after="0"/>
        <w:ind w:start="720" w:end="0"/>
        <w:rPr/>
      </w:pPr>
      <w:r>
        <w:rPr>
          <w:rFonts w:cs="Arial" w:ascii="Arial" w:hAnsi="Arial"/>
          <w:b/>
        </w:rPr>
        <w:t>Response:</w:t>
      </w:r>
      <w:r>
        <w:rPr>
          <w:rFonts w:cs="Arial" w:ascii="Arial" w:hAnsi="Arial"/>
        </w:rPr>
        <w:t xml:space="preserve">  Admitted.</w:t>
      </w:r>
    </w:p>
    <w:p>
      <w:pPr>
        <w:pStyle w:val="BodyText"/>
        <w:spacing w:before="0" w:after="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2.</w:t>
        <w:tab/>
        <w:t xml:space="preserve">Admit that Turlock has not entered into a Participating Generator Agreement (“PGA”) with the ISO with respect to any generation owned, leased, controlled or operated by Turlock.  </w:t>
      </w:r>
    </w:p>
    <w:p>
      <w:pPr>
        <w:pStyle w:val="Normal"/>
        <w:ind w:hanging="720" w:start="720" w:end="0"/>
        <w:rPr>
          <w:rFonts w:ascii="Arial" w:hAnsi="Arial" w:cs="Arial"/>
        </w:rPr>
      </w:pPr>
      <w:r>
        <w:rPr>
          <w:rFonts w:cs="Arial" w:ascii="Arial" w:hAnsi="Arial"/>
        </w:rPr>
      </w:r>
    </w:p>
    <w:p>
      <w:pPr>
        <w:pStyle w:val="Normal"/>
        <w:ind w:hanging="720" w:start="720" w:end="0"/>
        <w:rPr/>
      </w:pPr>
      <w:r>
        <w:rPr>
          <w:rFonts w:cs="Arial" w:ascii="Arial" w:hAnsi="Arial"/>
        </w:rPr>
        <w:tab/>
      </w:r>
      <w:r>
        <w:rPr>
          <w:rFonts w:cs="Arial" w:ascii="Arial" w:hAnsi="Arial"/>
          <w:b/>
        </w:rPr>
        <w:t>Response:</w:t>
      </w:r>
      <w:r>
        <w:rPr>
          <w:rFonts w:cs="Arial" w:ascii="Arial" w:hAnsi="Arial"/>
        </w:rPr>
        <w:t xml:space="preserve">  Admitted.</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3.</w:t>
        <w:tab/>
        <w:t>Admit that Turlock has not entered into a Scheduling Coordinator Agreement (“SCA”) with the ISO.</w:t>
      </w:r>
    </w:p>
    <w:p>
      <w:pPr>
        <w:pStyle w:val="Normal"/>
        <w:ind w:hanging="720" w:start="720" w:end="0"/>
        <w:rPr>
          <w:rFonts w:ascii="Arial" w:hAnsi="Arial" w:cs="Arial"/>
        </w:rPr>
      </w:pPr>
      <w:r>
        <w:rPr>
          <w:rFonts w:cs="Arial" w:ascii="Arial" w:hAnsi="Arial"/>
        </w:rPr>
      </w:r>
    </w:p>
    <w:p>
      <w:pPr>
        <w:pStyle w:val="Normal"/>
        <w:ind w:hanging="720" w:start="720" w:end="0"/>
        <w:rPr/>
      </w:pPr>
      <w:r>
        <w:rPr>
          <w:rFonts w:cs="Arial" w:ascii="Arial" w:hAnsi="Arial"/>
          <w:b/>
        </w:rPr>
        <w:tab/>
        <w:t>Response:</w:t>
      </w:r>
      <w:r>
        <w:rPr>
          <w:rFonts w:cs="Arial" w:ascii="Arial" w:hAnsi="Arial"/>
        </w:rPr>
        <w:t xml:space="preserve">  Admitted.</w:t>
      </w:r>
    </w:p>
    <w:p>
      <w:pPr>
        <w:pStyle w:val="Normal"/>
        <w:ind w:hanging="720" w:start="72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Admit that no generation owned, leased, operated or controlled by Turlock, and no load within Turlock’s service territory, is subject to ISO Dispatch instructions.</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Admitted.</w:t>
      </w:r>
    </w:p>
    <w:p>
      <w:pPr>
        <w:pStyle w:val="Header"/>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Admit that the ISO can only call on generators within its control for Out of Market (“OOM”) service if the generator has signed a PGA.</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Denied.  Out-of-Market transactions represent purchases made by the ISO outside of the ISO’s established markets for Energy and Ancillary Services in order to relieve locational constraints and/or to ensure adequate overall System Reliability.  The ISO, under its Tariff, has the authority to “call on generators for OOM service” by issuing generation dispatch instructions to any resource with a Participating Generator Agreement.  </w:t>
      </w:r>
      <w:r>
        <w:rPr>
          <w:rFonts w:cs="Arial" w:ascii="Arial" w:hAnsi="Arial"/>
          <w:i/>
        </w:rPr>
        <w:t>See</w:t>
      </w:r>
      <w:r>
        <w:rPr>
          <w:rFonts w:cs="Arial" w:ascii="Arial" w:hAnsi="Arial"/>
        </w:rPr>
        <w:t xml:space="preserve"> ISO Tariff § 5.1.3.  Additionally, the ISO, consistent with its Tariff, can “call on generators for OOM service” that are not under a Participating Generator Agreement if necessary to ensure System Reliability via direct negotiations with those generators, although those resources are under no obligation to respond.  </w:t>
      </w:r>
      <w:r>
        <w:rPr>
          <w:rFonts w:cs="Arial" w:ascii="Arial" w:hAnsi="Arial"/>
          <w:i/>
        </w:rPr>
        <w:t>See</w:t>
      </w:r>
      <w:r>
        <w:rPr>
          <w:rFonts w:cs="Arial" w:ascii="Arial" w:hAnsi="Arial"/>
        </w:rPr>
        <w:t xml:space="preserve"> ISO Tariff § 2.3.5.1.5.  Because both of these types of transactions are made outside of the ISO’s formal markets, they are both categorized as Out-of-Market transactions. </w:t>
      </w:r>
    </w:p>
    <w:p>
      <w:pPr>
        <w:pStyle w:val="Normal"/>
        <w:ind w:hanging="720" w:start="72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Admit that because Turlock has not signed a PGA the ISO does not have the authority to call on Turlock to provide OOM service.</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Denied.  Please see the response to Request 5.  </w:t>
      </w:r>
    </w:p>
    <w:p>
      <w:pPr>
        <w:pStyle w:val="Normal"/>
        <w:ind w:hanging="720" w:start="720" w:end="0"/>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Admit that all sales characterized as an OOM sale in the ISO’s data is actually a bilateral sale between Turlock and the ISO and not a OOM sale.</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Denied.  As discussed in the response to Request 5, the ISO can engage in OOM transactions with resources that are not under a Participating Generator Agreement, including resources owned by Turlock.</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Admit that the bilateral sales between Turlock and the ISO are outside the scope of the July 25 Order and have no refund liability associated with them.</w:t>
      </w:r>
    </w:p>
    <w:p>
      <w:pPr>
        <w:pStyle w:val="Normal"/>
        <w:rPr>
          <w:rFonts w:ascii="Arial" w:hAnsi="Arial" w:cs="Arial"/>
        </w:rPr>
      </w:pPr>
      <w:r>
        <w:rPr>
          <w:rFonts w:cs="Arial" w:ascii="Arial" w:hAnsi="Arial"/>
        </w:rPr>
      </w:r>
    </w:p>
    <w:p>
      <w:pPr>
        <w:pStyle w:val="Normal"/>
        <w:ind w:start="720" w:end="0"/>
        <w:rPr/>
      </w:pPr>
      <w:r>
        <w:rPr>
          <w:rFonts w:cs="Arial" w:ascii="Arial" w:hAnsi="Arial"/>
          <w:b/>
        </w:rPr>
        <w:t>Response:</w:t>
      </w:r>
      <w:r>
        <w:rPr>
          <w:rFonts w:cs="Arial" w:ascii="Arial" w:hAnsi="Arial"/>
        </w:rPr>
        <w:t xml:space="preserve">  Denied.  The Commission has nowhere suggested that bilateral spot sales between the ISO and Turlock are excluded from refund liability.  In fact, the Commission, in its order issued on July 25, 2001, specifically subjected spot market OOM purchases to refund liability.  The Commission stated that “to the extent the ISO made spot market OOM purchases (i.e. 24 hours or less and that were entered into the day of or day prior to delivery), such purchases are no different than purchases through its markets.”  96 FERC </w:t>
      </w:r>
      <w:r>
        <w:rPr>
          <w:rFonts w:cs="Times New Roman" w:ascii="Times New Roman" w:hAnsi="Times New Roman"/>
        </w:rPr>
        <w:t>¶</w:t>
      </w:r>
      <w:r>
        <w:rPr>
          <w:rFonts w:cs="Arial" w:ascii="Arial" w:hAnsi="Arial"/>
        </w:rPr>
        <w:t xml:space="preserve"> 61,120 (2001) at 61,515.  Additionally, nowhere in the July 25 Order did the Commission limit the scope of refund liability for OOM purchases to those OOM purchases made by the ISO from resources inside of the ISO’s Control Area. </w:t>
      </w:r>
    </w:p>
    <w:p>
      <w:pPr>
        <w:pStyle w:val="Normal"/>
        <w:ind w:hanging="720" w:start="720" w:end="0"/>
        <w:rPr>
          <w:rFonts w:ascii="Arial" w:hAnsi="Arial" w:cs="Arial"/>
        </w:rPr>
      </w:pPr>
      <w:r>
        <w:rPr>
          <w:rFonts w:cs="Arial" w:ascii="Arial" w:hAnsi="Arial"/>
        </w:rPr>
      </w:r>
    </w:p>
    <w:p>
      <w:pPr>
        <w:pStyle w:val="Heading6"/>
        <w:numPr>
          <w:ilvl w:val="0"/>
          <w:numId w:val="0"/>
        </w:numPr>
        <w:spacing w:before="240" w:after="0"/>
        <w:ind w:hanging="0" w:start="720" w:end="0"/>
        <w:rPr>
          <w:rFonts w:ascii="Arial" w:hAnsi="Arial" w:cs="Arial"/>
          <w:sz w:val="24"/>
        </w:rPr>
      </w:pPr>
      <w:r>
        <w:rPr>
          <w:rFonts w:cs="Arial" w:ascii="Arial" w:hAnsi="Arial"/>
          <w:sz w:val="24"/>
        </w:rPr>
      </w:r>
      <w:r>
        <w:br w:type="page"/>
      </w:r>
    </w:p>
    <w:p>
      <w:pPr>
        <w:pStyle w:val="Heading6"/>
        <w:numPr>
          <w:ilvl w:val="0"/>
          <w:numId w:val="0"/>
        </w:numPr>
        <w:spacing w:before="240" w:after="0"/>
        <w:ind w:hanging="0" w:start="720" w:end="0"/>
        <w:rPr>
          <w:rFonts w:ascii="Arial" w:hAnsi="Arial" w:cs="Arial"/>
          <w:sz w:val="24"/>
        </w:rPr>
      </w:pPr>
      <w:r>
        <w:rPr>
          <w:rFonts w:cs="Arial" w:ascii="Arial" w:hAnsi="Arial"/>
          <w:sz w:val="24"/>
        </w:rPr>
      </w:r>
    </w:p>
    <w:p>
      <w:pPr>
        <w:pStyle w:val="Normal"/>
        <w:tabs>
          <w:tab w:val="clear" w:pos="720"/>
          <w:tab w:val="left" w:pos="360" w:leader="none"/>
          <w:tab w:val="left" w:pos="3960" w:leader="none"/>
          <w:tab w:val="left" w:pos="8820" w:leader="none"/>
        </w:tabs>
        <w:rPr>
          <w:rFonts w:ascii="Arial" w:hAnsi="Arial" w:cs="Arial"/>
          <w:b/>
          <w:u w:val="single"/>
        </w:rPr>
      </w:pPr>
      <w:r>
        <w:rPr>
          <w:rFonts w:cs="Arial" w:ascii="Arial" w:hAnsi="Arial"/>
          <w:b/>
          <w:u w:val="single"/>
        </w:rPr>
        <w:t xml:space="preserve">INTERROGATORIES </w:t>
      </w:r>
    </w:p>
    <w:p>
      <w:pPr>
        <w:pStyle w:val="Normal"/>
        <w:tabs>
          <w:tab w:val="left" w:pos="720" w:leader="none"/>
          <w:tab w:val="left" w:pos="3960" w:leader="none"/>
          <w:tab w:val="left" w:pos="8820" w:leader="none"/>
        </w:tabs>
        <w:rPr>
          <w:rFonts w:ascii="Arial" w:hAnsi="Arial" w:cs="Arial"/>
          <w:b/>
          <w:u w:val="single"/>
        </w:rPr>
      </w:pPr>
      <w:r>
        <w:rPr>
          <w:rFonts w:cs="Arial" w:ascii="Arial" w:hAnsi="Arial"/>
          <w:b/>
          <w:u w:val="single"/>
        </w:rPr>
      </w:r>
    </w:p>
    <w:p>
      <w:pPr>
        <w:pStyle w:val="Normal"/>
        <w:tabs>
          <w:tab w:val="left" w:pos="720" w:leader="none"/>
          <w:tab w:val="left" w:pos="1440" w:leader="none"/>
          <w:tab w:val="left" w:pos="3960" w:leader="none"/>
          <w:tab w:val="left" w:pos="8820" w:leader="none"/>
        </w:tabs>
        <w:ind w:hanging="720" w:start="720" w:end="0"/>
        <w:rPr>
          <w:rFonts w:ascii="Arial" w:hAnsi="Arial" w:cs="Arial"/>
        </w:rPr>
      </w:pPr>
      <w:r>
        <w:rPr>
          <w:rFonts w:cs="Arial" w:ascii="Arial" w:hAnsi="Arial"/>
        </w:rPr>
        <w:t xml:space="preserve">1.  </w:t>
        <w:tab/>
        <w:t xml:space="preserve">To the extent that the ISO responds to any of the foregoing requests for admission with anything other than a full and unqualified admission, please state each and every fact on the basis of which the ISO declines, in whole or in part, to admit those requests for admission (or portions thereof) to which the ISO has made any response other than a full and unqualified admission. </w:t>
      </w:r>
    </w:p>
    <w:p>
      <w:pPr>
        <w:pStyle w:val="Normal"/>
        <w:tabs>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rPr/>
      </w:pPr>
      <w:r>
        <w:rPr>
          <w:rFonts w:cs="Arial" w:ascii="Arial" w:hAnsi="Arial"/>
        </w:rPr>
        <w:tab/>
      </w:r>
      <w:r>
        <w:rPr>
          <w:rFonts w:cs="Arial" w:ascii="Arial" w:hAnsi="Arial"/>
          <w:b/>
        </w:rPr>
        <w:t>Response:</w:t>
      </w:r>
      <w:r>
        <w:rPr>
          <w:rFonts w:cs="Arial" w:ascii="Arial" w:hAnsi="Arial"/>
        </w:rPr>
        <w:t xml:space="preserve">  The ISO has done so in the answer to admissions above.</w:t>
      </w:r>
    </w:p>
    <w:p>
      <w:pPr>
        <w:pStyle w:val="Normal"/>
        <w:tabs>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ind w:hanging="720" w:start="720" w:end="0"/>
        <w:rPr>
          <w:rFonts w:ascii="Arial" w:hAnsi="Arial" w:cs="Arial"/>
        </w:rPr>
      </w:pPr>
      <w:r>
        <w:rPr>
          <w:rFonts w:cs="Arial" w:ascii="Arial" w:hAnsi="Arial"/>
        </w:rPr>
        <w:t xml:space="preserve">2.  </w:t>
        <w:tab/>
        <w:t>In the event and to the extent that the ISO proposes to assert any claim for refund of any kind against Turlock in connection with this proceeding, please identify the person or persons employed by the ISO who are most familiar with the analysis and calculation of such claim(s).</w:t>
      </w:r>
    </w:p>
    <w:p>
      <w:pPr>
        <w:pStyle w:val="Normal"/>
        <w:tabs>
          <w:tab w:val="left" w:pos="720" w:leader="none"/>
          <w:tab w:val="left" w:pos="1440" w:leader="none"/>
          <w:tab w:val="left" w:pos="3960" w:leader="none"/>
          <w:tab w:val="left" w:pos="8820" w:leader="none"/>
        </w:tabs>
        <w:ind w:hanging="720" w:start="720" w:end="0"/>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ind w:hanging="720" w:start="720" w:end="0"/>
        <w:rPr/>
      </w:pPr>
      <w:r>
        <w:rPr>
          <w:rFonts w:cs="Arial" w:ascii="Arial" w:hAnsi="Arial"/>
        </w:rPr>
        <w:tab/>
      </w:r>
      <w:r>
        <w:rPr>
          <w:rFonts w:cs="Arial" w:ascii="Arial" w:hAnsi="Arial"/>
          <w:b/>
        </w:rPr>
        <w:t>Response:</w:t>
      </w:r>
      <w:r>
        <w:rPr>
          <w:rFonts w:cs="Arial" w:ascii="Arial" w:hAnsi="Arial"/>
        </w:rPr>
        <w:t xml:space="preserve">  Spence Gerber</w:t>
      </w:r>
      <w:r>
        <w:br w:type="page"/>
      </w:r>
    </w:p>
    <w:p>
      <w:pPr>
        <w:pStyle w:val="Normal"/>
        <w:tabs>
          <w:tab w:val="left" w:pos="720" w:leader="none"/>
          <w:tab w:val="left" w:pos="1440" w:leader="none"/>
          <w:tab w:val="left" w:pos="3960" w:leader="none"/>
          <w:tab w:val="left" w:pos="8820" w:leader="none"/>
        </w:tabs>
        <w:ind w:hanging="720" w:start="720" w:end="0"/>
        <w:rPr>
          <w:rFonts w:ascii="Arial" w:hAnsi="Arial" w:cs="Arial"/>
          <w:b/>
          <w:u w:val="single"/>
        </w:rPr>
      </w:pPr>
      <w:r>
        <w:rPr>
          <w:rFonts w:cs="Arial" w:ascii="Arial" w:hAnsi="Arial"/>
          <w:b/>
          <w:u w:val="single"/>
        </w:rPr>
        <w:t>REQUEST FOR PRODUCTION</w:t>
      </w:r>
    </w:p>
    <w:p>
      <w:pPr>
        <w:pStyle w:val="Normal"/>
        <w:tabs>
          <w:tab w:val="left" w:pos="720" w:leader="none"/>
          <w:tab w:val="left" w:pos="3960" w:leader="none"/>
          <w:tab w:val="left" w:pos="8820" w:leader="none"/>
        </w:tabs>
        <w:rPr>
          <w:rFonts w:ascii="Arial" w:hAnsi="Arial" w:cs="Arial"/>
          <w:b/>
          <w:u w:val="single"/>
        </w:rPr>
      </w:pPr>
      <w:r>
        <w:rPr>
          <w:rFonts w:cs="Arial" w:ascii="Arial" w:hAnsi="Arial"/>
          <w:b/>
          <w:u w:val="single"/>
        </w:rPr>
      </w:r>
    </w:p>
    <w:p>
      <w:pPr>
        <w:pStyle w:val="Normal"/>
        <w:numPr>
          <w:ilvl w:val="0"/>
          <w:numId w:val="5"/>
        </w:numPr>
        <w:tabs>
          <w:tab w:val="clear" w:pos="720"/>
          <w:tab w:val="left" w:pos="1440" w:leader="none"/>
          <w:tab w:val="left" w:pos="3960" w:leader="none"/>
          <w:tab w:val="left" w:pos="8820" w:leader="none"/>
        </w:tabs>
        <w:rPr>
          <w:rFonts w:ascii="Arial" w:hAnsi="Arial" w:cs="Arial"/>
        </w:rPr>
      </w:pPr>
      <w:r>
        <w:rPr>
          <w:rFonts w:cs="Arial" w:ascii="Arial" w:hAnsi="Arial"/>
        </w:rPr>
        <w:t>To the extent that the ISO responds to any of the foregoing requests for admission with anything other than a full and unqualified admission, please produce all documents on the basis of which the ISO declines, in whole or in part, to admit those requests for admission (or portions thereof) to which the ISO has made any response other than a full and unqualified admission.</w:t>
      </w:r>
    </w:p>
    <w:p>
      <w:pPr>
        <w:pStyle w:val="Normal"/>
        <w:tabs>
          <w:tab w:val="left" w:pos="720" w:leader="none"/>
          <w:tab w:val="left" w:pos="1440" w:leader="none"/>
          <w:tab w:val="left" w:pos="3960" w:leader="none"/>
          <w:tab w:val="left" w:pos="8820" w:leader="none"/>
        </w:tabs>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ind w:start="720" w:end="0"/>
        <w:rPr/>
      </w:pPr>
      <w:r>
        <w:rPr>
          <w:rFonts w:cs="Arial" w:ascii="Arial" w:hAnsi="Arial"/>
          <w:b/>
        </w:rPr>
        <w:t>Response:</w:t>
      </w:r>
      <w:r>
        <w:rPr>
          <w:rFonts w:cs="Arial" w:ascii="Arial" w:hAnsi="Arial"/>
        </w:rPr>
        <w:t xml:space="preserve">  In responding to the foregoing requests for admission, the ISO has relied solely upon documents that have already been distributed by the ISO to all parties in this proceeding, as well as published Commission decisions.</w:t>
      </w:r>
    </w:p>
    <w:p>
      <w:pPr>
        <w:pStyle w:val="Normal"/>
        <w:tabs>
          <w:tab w:val="left" w:pos="720" w:leader="none"/>
          <w:tab w:val="left" w:pos="1440" w:leader="none"/>
          <w:tab w:val="left" w:pos="3960" w:leader="none"/>
          <w:tab w:val="left" w:pos="8820" w:leader="none"/>
        </w:tabs>
        <w:ind w:start="720" w:end="0"/>
        <w:rPr>
          <w:rFonts w:ascii="Arial" w:hAnsi="Arial" w:cs="Arial"/>
        </w:rPr>
      </w:pPr>
      <w:r>
        <w:rPr>
          <w:rFonts w:cs="Arial" w:ascii="Arial" w:hAnsi="Arial"/>
        </w:rPr>
      </w:r>
    </w:p>
    <w:p>
      <w:pPr>
        <w:pStyle w:val="Normal"/>
        <w:tabs>
          <w:tab w:val="left" w:pos="720" w:leader="none"/>
          <w:tab w:val="left" w:pos="1440" w:leader="none"/>
          <w:tab w:val="left" w:pos="3960" w:leader="none"/>
          <w:tab w:val="left" w:pos="8820" w:leader="none"/>
        </w:tabs>
        <w:ind w:hanging="720" w:start="720" w:end="0"/>
        <w:rPr>
          <w:rFonts w:ascii="Arial" w:hAnsi="Arial" w:cs="Arial"/>
        </w:rPr>
      </w:pPr>
      <w:r>
        <w:rPr>
          <w:rFonts w:cs="Arial" w:ascii="Arial" w:hAnsi="Arial"/>
        </w:rPr>
        <w:t xml:space="preserve">2.  </w:t>
        <w:tab/>
        <w:t>Please produce all studies, analyses, evaluations and calculations (including all workpapers and drafts developed in the course of preparing any of the foregoing) concerning any claim for refund asserted by or on behalf of the ISO against Turlock in this proceeding.  If there are no such documents, please so state.</w:t>
      </w:r>
    </w:p>
    <w:p>
      <w:pPr>
        <w:pStyle w:val="Normal"/>
        <w:tabs>
          <w:tab w:val="left" w:pos="720" w:leader="none"/>
          <w:tab w:val="left" w:pos="8820" w:leader="none"/>
        </w:tabs>
        <w:ind w:start="720" w:end="0"/>
        <w:rPr>
          <w:b/>
        </w:rPr>
      </w:pPr>
      <w:r>
        <w:rPr>
          <w:b/>
        </w:rPr>
        <w:tab/>
      </w:r>
    </w:p>
    <w:p>
      <w:pPr>
        <w:pStyle w:val="Normal"/>
        <w:tabs>
          <w:tab w:val="left" w:pos="720" w:leader="none"/>
          <w:tab w:val="left" w:pos="8820" w:leader="none"/>
        </w:tabs>
        <w:ind w:start="720" w:end="0"/>
        <w:rPr/>
      </w:pPr>
      <w:r>
        <w:rPr>
          <w:rFonts w:cs="Arial" w:ascii="Arial" w:hAnsi="Arial"/>
          <w:b/>
        </w:rPr>
        <w:t xml:space="preserve">Response:  </w:t>
      </w:r>
      <w:r>
        <w:rPr>
          <w:rFonts w:cs="Arial" w:ascii="Arial" w:hAnsi="Arial"/>
        </w:rPr>
        <w:t>All such documents have already been distributed by the ISO to all parties in this proceeding.</w:t>
      </w:r>
    </w:p>
    <w:sectPr>
      <w:headerReference w:type="default" r:id="rId4"/>
      <w:headerReference w:type="first" r:id="rId5"/>
      <w:type w:val="nextPage"/>
      <w:pgSz w:w="12240" w:h="15840"/>
      <w:pgMar w:left="1800" w:right="1440" w:gutter="0" w:header="720" w:top="144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altName w:val="Bookman Old Style"/>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rPr>
    </w:pPr>
    <w:r>
      <w:rPr>
        <w:rFonts w:cs="Arial" w:ascii="Arial" w:hAnsi="Arial"/>
        <w:b/>
      </w:rPr>
      <w:t>SAN DIEGO GAS &amp; ELECTRIC COMPANY, ET AL.</w:t>
    </w:r>
  </w:p>
  <w:p>
    <w:pPr>
      <w:pStyle w:val="Normal"/>
      <w:jc w:val="center"/>
      <w:rPr>
        <w:rFonts w:ascii="Arial" w:hAnsi="Arial" w:cs="Arial"/>
        <w:b/>
      </w:rPr>
    </w:pPr>
    <w:r>
      <w:rPr>
        <w:rFonts w:cs="Arial" w:ascii="Arial" w:hAnsi="Arial"/>
        <w:b/>
      </w:rPr>
      <w:t>DOCKET NO. EL00-95 ET AL.</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TURLOCK’S FIRST SET OF DISCOVERY AND DATA REQUESTS</w:t>
    </w:r>
  </w:p>
  <w:p>
    <w:pPr>
      <w:pStyle w:val="Header"/>
      <w:jc w:val="center"/>
      <w:rPr>
        <w:rFonts w:ascii="Arial" w:hAnsi="Arial" w:cs="Arial"/>
        <w:b/>
      </w:rPr>
    </w:pPr>
    <w:r>
      <w:rPr>
        <w:rFonts w:cs="Arial" w:ascii="Arial" w:hAnsi="Arial"/>
        <w:b/>
      </w:rPr>
      <w:t>TO THE CALIFORNIA ISO</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rFonts w:ascii="Century Schoolbook;Bookman Old Style" w:hAnsi="Century Schoolbook;Bookman Old Style" w:cs="Century Schoolbook;Bookman Old Style"/>
      </w:rPr>
    </w:lvl>
    <w:lvl w:ilvl="1">
      <w:start w:val="1"/>
      <w:pStyle w:val="Heading2"/>
      <w:numFmt w:val="upperLetter"/>
      <w:lvlText w:val="%2."/>
      <w:lvlJc w:val="start"/>
      <w:pPr>
        <w:tabs>
          <w:tab w:val="num" w:pos="720"/>
        </w:tabs>
        <w:ind w:start="720" w:hanging="720"/>
      </w:pPr>
      <w:rPr>
        <w:sz w:val="24"/>
        <w:rFonts w:ascii="Century Schoolbook;Bookman Old Style" w:hAnsi="Century Schoolbook;Bookman Old Style" w:cs="Century Schoolbook;Bookman Old Style"/>
      </w:rPr>
    </w:lvl>
    <w:lvl w:ilvl="2">
      <w:start w:val="1"/>
      <w:pStyle w:val="Heading3"/>
      <w:numFmt w:val="decimal"/>
      <w:lvlText w:val="%3."/>
      <w:lvlJc w:val="start"/>
      <w:pPr>
        <w:tabs>
          <w:tab w:val="num" w:pos="2160"/>
        </w:tabs>
        <w:ind w:start="2160" w:hanging="720"/>
      </w:pPr>
      <w:rPr>
        <w:sz w:val="24"/>
        <w:rFonts w:ascii="Century Schoolbook;Bookman Old Style" w:hAnsi="Century Schoolbook;Bookman Old Style" w:cs="Century Schoolbook;Bookman Old Style"/>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7"/>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4"/>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Bookman Old Style" w:hAnsi="Century Schoolbook;Bookman Old Style" w:eastAsia="Times New Roman" w:cs="Century Schoolbook;Bookman Old Style"/>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rFonts w:cs="Arial"/>
      <w:bCs/>
      <w:caps/>
      <w:kern w:val="2"/>
      <w:szCs w:val="32"/>
      <w:u w:val="single"/>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spacing w:before="0" w:after="240"/>
      <w:outlineLvl w:val="2"/>
    </w:pPr>
    <w:rPr>
      <w:rFonts w:cs="Arial"/>
      <w:bCs/>
      <w:szCs w:val="26"/>
    </w:rPr>
  </w:style>
  <w:style w:type="paragraph" w:styleId="Heading4">
    <w:name w:val="heading 4"/>
    <w:basedOn w:val="Normal"/>
    <w:next w:val="Normal"/>
    <w:qFormat/>
    <w:pPr>
      <w:keepNext w:val="true"/>
      <w:outlineLvl w:val="3"/>
    </w:pPr>
    <w:rPr>
      <w:b/>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Century Schoolbook;Bookman Old Style" w:hAnsi="Century Schoolbook;Bookman Old Style" w:cs="Century Schoolbook;Bookman Old Style"/>
      <w:sz w:val="24"/>
    </w:rPr>
  </w:style>
  <w:style w:type="character" w:styleId="WW8Num15z3">
    <w:name w:val="WW8Num15z3"/>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rFonts w:ascii="Century Schoolbook;Bookman Old Style" w:hAnsi="Century Schoolbook;Bookman Old Style" w:cs="Century Schoolbook;Bookman Old Style"/>
    </w:rPr>
  </w:style>
  <w:style w:type="character" w:styleId="CommentReference">
    <w:name w:val="Comment Reference"/>
    <w:basedOn w:val="DefaultParagraphFont"/>
    <w:qFormat/>
    <w:rPr>
      <w:rFonts w:ascii="Century Schoolbook;Bookman Old Style" w:hAnsi="Century Schoolbook;Bookman Old Style" w:cs="Century Schoolbook;Bookman Old Style"/>
      <w:sz w:val="16"/>
      <w:szCs w:val="16"/>
    </w:rPr>
  </w:style>
  <w:style w:type="character" w:styleId="Emphasis">
    <w:name w:val="Emphasis"/>
    <w:basedOn w:val="DefaultParagraphFont"/>
    <w:qFormat/>
    <w:rPr>
      <w:rFonts w:ascii="Century Schoolbook;Bookman Old Style" w:hAnsi="Century Schoolbook;Bookman Old Style" w:cs="Century Schoolbook;Bookman Old Style"/>
      <w:iCs/>
    </w:rPr>
  </w:style>
  <w:style w:type="character" w:styleId="EndnoteCharacters">
    <w:name w:val="Endnote Characters"/>
    <w:basedOn w:val="DefaultParagraphFont"/>
    <w:qFormat/>
    <w:rPr>
      <w:rFonts w:ascii="Century Schoolbook;Bookman Old Style" w:hAnsi="Century Schoolbook;Bookman Old Style" w:cs="Century Schoolbook;Bookman Old Style"/>
      <w:vertAlign w:val="superscript"/>
    </w:rPr>
  </w:style>
  <w:style w:type="character" w:styleId="FootnoteCharacters">
    <w:name w:val="Footnote Characters"/>
    <w:basedOn w:val="DefaultParagraphFont"/>
    <w:qFormat/>
    <w:rPr>
      <w:rFonts w:ascii="Century Schoolbook;Bookman Old Style" w:hAnsi="Century Schoolbook;Bookman Old Style" w:cs="Century Schoolbook;Bookman Old Style"/>
      <w:position w:val="0"/>
      <w:sz w:val="24"/>
      <w:u w:val="single"/>
      <w:vertAlign w:val="baseline"/>
    </w:rPr>
  </w:style>
  <w:style w:type="character" w:styleId="Hyperlink">
    <w:name w:val="Hyperlink"/>
    <w:basedOn w:val="DefaultParagraphFont"/>
    <w:rPr>
      <w:rFonts w:ascii="Century Schoolbook;Bookman Old Style" w:hAnsi="Century Schoolbook;Bookman Old Style" w:cs="Century Schoolbook;Bookman Old Style"/>
      <w:color w:val="0000FF"/>
      <w:u w:val="single"/>
    </w:rPr>
  </w:style>
  <w:style w:type="character" w:styleId="LineNumber">
    <w:name w:val="line number"/>
    <w:basedOn w:val="DefaultParagraphFont"/>
    <w:rPr>
      <w:rFonts w:ascii="Century Schoolbook;Bookman Old Style" w:hAnsi="Century Schoolbook;Bookman Old Style" w:cs="Century Schoolbook;Bookman Old Style"/>
    </w:rPr>
  </w:style>
  <w:style w:type="character" w:styleId="Strong">
    <w:name w:val="Strong"/>
    <w:basedOn w:val="DefaultParagraphFont"/>
    <w:qFormat/>
    <w:rPr>
      <w:rFonts w:ascii="Century Schoolbook;Bookman Old Style" w:hAnsi="Century Schoolbook;Bookman Old Style" w:cs="Century Schoolbook;Bookman Old Style"/>
      <w:b/>
      <w:bCs/>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000" w:leader="none"/>
      </w:tabs>
    </w:pPr>
    <w:rPr/>
  </w:style>
  <w:style w:type="paragraph" w:styleId="Footer">
    <w:name w:val="footer"/>
    <w:basedOn w:val="Normal"/>
    <w:pPr>
      <w:tabs>
        <w:tab w:val="clear" w:pos="720"/>
        <w:tab w:val="center" w:pos="4680" w:leader="none"/>
        <w:tab w:val="right" w:pos="9000" w:leader="none"/>
      </w:tabs>
    </w:pPr>
    <w:rPr/>
  </w:style>
  <w:style w:type="paragraph" w:styleId="TOC1">
    <w:name w:val="toc 1"/>
    <w:basedOn w:val="Normal"/>
    <w:next w:val="Normal"/>
    <w:pPr>
      <w:tabs>
        <w:tab w:val="left" w:pos="720" w:leader="none"/>
        <w:tab w:val="right" w:pos="9000" w:leader="dot"/>
      </w:tabs>
      <w:spacing w:before="0" w:after="240"/>
      <w:ind w:hanging="0" w:start="0" w:end="720"/>
    </w:pPr>
    <w:rPr>
      <w:lang w:val="en-CA" w:eastAsia="en-CA"/>
    </w:rPr>
  </w:style>
  <w:style w:type="paragraph" w:styleId="BlockText">
    <w:name w:val="Block Text"/>
    <w:basedOn w:val="Normal"/>
    <w:qFormat/>
    <w:pPr>
      <w:ind w:hanging="0" w:start="1440" w:end="1440"/>
    </w:pPr>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style>
  <w:style w:type="paragraph" w:styleId="IndexHeading">
    <w:name w:val="index heading"/>
    <w:basedOn w:val="Normal"/>
    <w:next w:val="Index1"/>
    <w:pPr/>
    <w:rPr>
      <w:rFonts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TOC2">
    <w:name w:val="toc 2"/>
    <w:basedOn w:val="Normal"/>
    <w:next w:val="Normal"/>
    <w:pPr>
      <w:tabs>
        <w:tab w:val="clear" w:pos="720"/>
        <w:tab w:val="left" w:pos="1440" w:leader="none"/>
        <w:tab w:val="right" w:pos="9000" w:leader="dot"/>
      </w:tabs>
      <w:spacing w:before="0" w:after="240"/>
      <w:ind w:hanging="720" w:start="1440" w:end="835"/>
    </w:pPr>
    <w:rPr>
      <w:lang w:val="en-CA" w:eastAsia="en-CA"/>
    </w:rPr>
  </w:style>
  <w:style w:type="paragraph" w:styleId="TOC3">
    <w:name w:val="toc 3"/>
    <w:basedOn w:val="Normal"/>
    <w:next w:val="Normal"/>
    <w:pPr>
      <w:tabs>
        <w:tab w:val="clear" w:pos="720"/>
        <w:tab w:val="left" w:pos="2160" w:leader="none"/>
        <w:tab w:val="right" w:pos="9000" w:leader="dot"/>
      </w:tabs>
      <w:spacing w:before="0" w:after="240"/>
      <w:ind w:hanging="720" w:start="2160" w:end="835"/>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BodyText2">
    <w:name w:val="Body Text 2"/>
    <w:basedOn w:val="Normal"/>
    <w:qFormat/>
    <w:pPr/>
    <w:rPr>
      <w:rFonts w:ascii="Arial" w:hAnsi="Arial" w:cs="Arial"/>
    </w:rPr>
  </w:style>
  <w:style w:type="paragraph" w:styleId="Paragraph">
    <w:name w:val="Paragraph"/>
    <w:basedOn w:val="BodyText"/>
    <w:qFormat/>
    <w:pPr>
      <w:suppressAutoHyphens w:val="true"/>
      <w:spacing w:before="100" w:after="0"/>
      <w:jc w:val="both"/>
    </w:pPr>
    <w:rPr>
      <w:rFonts w:ascii="Times New Roman" w:hAnsi="Times New Roman" w:cs="Times New Roman"/>
      <w:kern w:val="2"/>
      <w:sz w:val="20"/>
      <w:lang w:eastAsia="en-US"/>
    </w:rPr>
  </w:style>
  <w:style w:type="paragraph" w:styleId="PleadingSignature">
    <w:name w:val="Pleading Signature"/>
    <w:basedOn w:val="Normal"/>
    <w:qFormat/>
    <w:pPr>
      <w:keepNext w:val="true"/>
      <w:keepLines/>
      <w:widowControl w:val="false"/>
      <w:tabs>
        <w:tab w:val="clear" w:pos="720"/>
        <w:tab w:val="right" w:pos="3960" w:leader="none"/>
      </w:tabs>
      <w:spacing w:lineRule="exact" w:line="240"/>
    </w:pPr>
    <w:rPr>
      <w:rFonts w:ascii="Times New Roman" w:hAnsi="Times New Roman" w:cs="Times New Roman"/>
    </w:rPr>
  </w:style>
  <w:style w:type="paragraph" w:styleId="BodyText3">
    <w:name w:val="Body Text 3"/>
    <w:basedOn w:val="Normal"/>
    <w:qFormat/>
    <w:pPr/>
    <w:rPr>
      <w:rFonts w:ascii="Arial" w:hAnsi="Arial" w:cs="Arial"/>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2001-10-17T16:24:00Z</dcterms:created>
  <dc:creator>JRS</dc:creator>
  <dc:description/>
  <dc:language>en-CA</dc:language>
  <cp:lastModifiedBy>KunselMN</cp:lastModifiedBy>
  <cp:lastPrinted>2001-09-10T11:15:00Z</cp:lastPrinted>
  <dcterms:modified xsi:type="dcterms:W3CDTF">2001-10-23T15:49:00Z</dcterms:modified>
  <cp:revision>15</cp:revision>
  <dc:subject/>
  <dc:title>Jon R</dc:title>
</cp:coreProperties>
</file>