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tab/>
        <w:tab/>
        <w:tab/>
        <w:tab/>
        <w:tab/>
        <w:t>WORKING DRAFT NOVEMBER 19, 1999</w:t>
      </w:r>
    </w:p>
    <w:p>
      <w:pPr>
        <w:pStyle w:val="Normal"/>
        <w:rPr/>
      </w:pPr>
      <w:r>
        <w:rPr/>
      </w:r>
    </w:p>
    <w:p>
      <w:pPr>
        <w:pStyle w:val="Normal"/>
        <w:rPr/>
      </w:pPr>
      <w:r>
        <w:rPr/>
        <w:t>THE SPECIAL CASE OF INITIAL COLLATERAL FOR OTC DERIVATIVES</w:t>
      </w:r>
    </w:p>
    <w:p>
      <w:pPr>
        <w:pStyle w:val="Normal"/>
        <w:rPr/>
      </w:pPr>
      <w:r>
        <w:rPr/>
      </w:r>
    </w:p>
    <w:p>
      <w:pPr>
        <w:pStyle w:val="Normal"/>
        <w:rPr/>
      </w:pPr>
      <w:r>
        <w:rPr/>
        <w:t>RISKS, PROBLEMS, SOLUTIONS</w:t>
      </w:r>
    </w:p>
    <w:p>
      <w:pPr>
        <w:pStyle w:val="Normal"/>
        <w:rPr/>
      </w:pPr>
      <w:r>
        <w:rPr/>
      </w:r>
    </w:p>
    <w:p>
      <w:pPr>
        <w:pStyle w:val="Normal"/>
        <w:rPr/>
      </w:pPr>
      <w:r>
        <w:rPr/>
        <w:t>By Charles A Fishkin</w:t>
      </w:r>
    </w:p>
    <w:p>
      <w:pPr>
        <w:pStyle w:val="Normal"/>
        <w:rPr/>
      </w:pPr>
      <w:r>
        <w:rPr/>
      </w:r>
    </w:p>
    <w:p>
      <w:pPr>
        <w:pStyle w:val="Normal"/>
        <w:rPr/>
      </w:pPr>
      <w:r>
        <w:rPr/>
        <w:t>Initial Collateral has been a difficult challenge for participants in the OTC derivatives market.  Herein lies the potential for a unique set of credit and operational risks.</w:t>
      </w:r>
    </w:p>
    <w:p>
      <w:pPr>
        <w:pStyle w:val="Normal"/>
        <w:rPr/>
      </w:pPr>
      <w:r>
        <w:rPr/>
      </w:r>
    </w:p>
    <w:p>
      <w:pPr>
        <w:pStyle w:val="Normal"/>
        <w:rPr/>
      </w:pPr>
      <w:r>
        <w:rPr/>
        <w:t>Initial Collateral (and collateral generally) is being used with increasing frequency by market participants, particularly with leveraged and non-investment grade entities.  The Russian default and related problems with certain hedge funds have highlighted the value of collateral as a risk management tool. *</w:t>
      </w:r>
    </w:p>
    <w:p>
      <w:pPr>
        <w:pStyle w:val="Normal"/>
        <w:rPr/>
      </w:pPr>
      <w:r>
        <w:rPr/>
      </w:r>
    </w:p>
    <w:p>
      <w:pPr>
        <w:pStyle w:val="Normal"/>
        <w:rPr/>
      </w:pPr>
      <w:r>
        <w:rPr/>
        <w:t>Initial Collateral, as its name suggests, is an amount of collateral that is taken at the outset of a derivatives transaction.  It is generally sought as an extra cushion of support to protect against large and sudden swings in market risk, operational error and delays or lags or in calling for collateral.  Initial Collateral, it should be emphasized, is transaction specific – in other words, a specific amount of collateral for a specific transaction.</w:t>
      </w:r>
    </w:p>
    <w:p>
      <w:pPr>
        <w:pStyle w:val="Normal"/>
        <w:rPr/>
      </w:pPr>
      <w:r>
        <w:rPr/>
      </w:r>
    </w:p>
    <w:p>
      <w:pPr>
        <w:pStyle w:val="Normal"/>
        <w:rPr/>
      </w:pPr>
      <w:r>
        <w:rPr/>
        <w:t>Initial Collateral is often only one component of the total collateral requirement.  Usually an additional amount of collateral is required to cover the netted close-out value of the entire derivatives portfolio between the parties.  Such amount takes into account netting or offset of the market value of the individual transactions and is intended to cover the losses or costs that would be incurred if the transactions had to be replaced with another dealer.  This amount, which can change depending on market movements of the transactions, is often referred to as the Variation Margin.  In many collateral arrangements, then, the total collateral requirement on any given day is the sum of the individual Initial Collateral requirements for all transactions plus amounts for the Variation Margin.</w:t>
      </w:r>
    </w:p>
    <w:p>
      <w:pPr>
        <w:pStyle w:val="Normal"/>
        <w:rPr/>
      </w:pPr>
      <w:r>
        <w:rPr/>
      </w:r>
    </w:p>
    <w:p>
      <w:pPr>
        <w:pStyle w:val="Normal"/>
        <w:rPr/>
      </w:pPr>
      <w:r>
        <w:rPr/>
        <w:t>The collateral requirement can be affected by various factors, including the market value of the collateral, the market value of the transactions, minimum delivery amounts and thresholds, if any.  In many cases, valuations for the collateral requirement take place daily, although some participants prefer weekly or monthly valuations.</w:t>
      </w:r>
    </w:p>
    <w:p>
      <w:pPr>
        <w:pStyle w:val="Normal"/>
        <w:rPr/>
      </w:pPr>
      <w:r>
        <w:rPr/>
      </w:r>
    </w:p>
    <w:p>
      <w:pPr>
        <w:pStyle w:val="Normal"/>
        <w:rPr/>
      </w:pPr>
      <w:r>
        <w:rPr/>
      </w:r>
    </w:p>
    <w:p>
      <w:pPr>
        <w:pStyle w:val="Normal"/>
        <w:rPr/>
      </w:pPr>
      <w:r>
        <w:rPr/>
      </w:r>
    </w:p>
    <w:p>
      <w:pPr>
        <w:pStyle w:val="Normal"/>
        <w:rPr/>
      </w:pPr>
      <w:r>
        <w:rPr/>
        <w:t xml:space="preserve">Common forms of collateral for derivatives transactions in the U.S. market are cash, U. S. Treasury and Agency securities, shares of equity securities, mortgage-backed securities and other marketable securities.  Collateral arrangements can be one-way (i.e., only one party is a provider of collateral) or bilateral (i.e., both parties can be providers, depending on the close-out value of the derivatives portfolio.)  Initial Collateral is more common in one-way arrangements, although it is not a feature of all one-way arrangements; it is used in some bilateral arrangements, although it is far less common.  </w:t>
      </w:r>
    </w:p>
    <w:p>
      <w:pPr>
        <w:pStyle w:val="Normal"/>
        <w:rPr/>
      </w:pPr>
      <w:r>
        <w:rPr/>
        <w:t>Initial Collateral, which is also referred to as Initial Margin or Independent Amounts, can take different forms, depending on the types of transaction and the perceived credit risks.  Examples include:</w:t>
      </w:r>
    </w:p>
    <w:p>
      <w:pPr>
        <w:pStyle w:val="Normal"/>
        <w:rPr/>
      </w:pPr>
      <w:r>
        <w:rPr/>
      </w:r>
    </w:p>
    <w:p>
      <w:pPr>
        <w:pStyle w:val="Normal"/>
        <w:numPr>
          <w:ilvl w:val="0"/>
          <w:numId w:val="7"/>
        </w:numPr>
        <w:rPr/>
      </w:pPr>
      <w:r>
        <w:rPr/>
        <w:t>A fixed dollar amount;</w:t>
      </w:r>
    </w:p>
    <w:p>
      <w:pPr>
        <w:pStyle w:val="Normal"/>
        <w:rPr/>
      </w:pPr>
      <w:r>
        <w:rPr/>
      </w:r>
    </w:p>
    <w:p>
      <w:pPr>
        <w:pStyle w:val="Normal"/>
        <w:numPr>
          <w:ilvl w:val="0"/>
          <w:numId w:val="13"/>
        </w:numPr>
        <w:rPr/>
      </w:pPr>
      <w:r>
        <w:rPr/>
        <w:t>A fixed percentage of the notional amount of a derivatives transaction;</w:t>
      </w:r>
    </w:p>
    <w:p>
      <w:pPr>
        <w:pStyle w:val="Normal"/>
        <w:rPr/>
      </w:pPr>
      <w:r>
        <w:rPr/>
      </w:r>
    </w:p>
    <w:p>
      <w:pPr>
        <w:pStyle w:val="Normal"/>
        <w:numPr>
          <w:ilvl w:val="0"/>
          <w:numId w:val="9"/>
        </w:numPr>
        <w:rPr/>
      </w:pPr>
      <w:r>
        <w:rPr/>
        <w:t>A fixed number of shares of a specific issue of common stock;</w:t>
      </w:r>
    </w:p>
    <w:p>
      <w:pPr>
        <w:pStyle w:val="Normal"/>
        <w:rPr/>
      </w:pPr>
      <w:r>
        <w:rPr/>
      </w:r>
    </w:p>
    <w:p>
      <w:pPr>
        <w:pStyle w:val="Normal"/>
        <w:numPr>
          <w:ilvl w:val="0"/>
          <w:numId w:val="20"/>
        </w:numPr>
        <w:rPr/>
      </w:pPr>
      <w:r>
        <w:rPr/>
        <w:t>Fixed dollar amounts that decline over time in a stair-like fashion;</w:t>
      </w:r>
    </w:p>
    <w:p>
      <w:pPr>
        <w:pStyle w:val="Normal"/>
        <w:rPr/>
      </w:pPr>
      <w:r>
        <w:rPr/>
      </w:r>
    </w:p>
    <w:p>
      <w:pPr>
        <w:pStyle w:val="Normal"/>
        <w:numPr>
          <w:ilvl w:val="0"/>
          <w:numId w:val="17"/>
        </w:numPr>
        <w:rPr/>
      </w:pPr>
      <w:r>
        <w:rPr/>
        <w:t>Amounts based on variables such as years remaining in a transaction;</w:t>
      </w:r>
    </w:p>
    <w:p>
      <w:pPr>
        <w:pStyle w:val="Normal"/>
        <w:rPr/>
      </w:pPr>
      <w:r>
        <w:rPr/>
      </w:r>
    </w:p>
    <w:p>
      <w:pPr>
        <w:pStyle w:val="Normal"/>
        <w:numPr>
          <w:ilvl w:val="0"/>
          <w:numId w:val="1"/>
        </w:numPr>
        <w:rPr/>
      </w:pPr>
      <w:r>
        <w:rPr/>
        <w:t>Amounts that take effect only upon the occurrence on certain credit events such as change in capital, covenant defaults and ratings downgrades;</w:t>
      </w:r>
    </w:p>
    <w:p>
      <w:pPr>
        <w:pStyle w:val="Normal"/>
        <w:rPr/>
      </w:pPr>
      <w:r>
        <w:rPr/>
      </w:r>
    </w:p>
    <w:p>
      <w:pPr>
        <w:pStyle w:val="Normal"/>
        <w:numPr>
          <w:ilvl w:val="0"/>
          <w:numId w:val="5"/>
        </w:numPr>
        <w:rPr/>
      </w:pPr>
      <w:r>
        <w:rPr/>
        <w:t>Amounts that can grow or contract on any given valuation day, depending on the amount and direction of the netted closeout amount of the portfolio.</w:t>
      </w:r>
    </w:p>
    <w:p>
      <w:pPr>
        <w:pStyle w:val="Normal"/>
        <w:rPr/>
      </w:pPr>
      <w:r>
        <w:rPr/>
      </w:r>
    </w:p>
    <w:p>
      <w:pPr>
        <w:pStyle w:val="Normal"/>
        <w:rPr/>
      </w:pPr>
      <w:r>
        <w:rPr/>
        <w:t>The Initial Collateral amounts are commonly set forth in the written confirmation for the transaction, which is typically sent by the dealer shortly after the transaction is executed over the phone by the parties.  For some kinds of collateral arrangements, the Initial Collateral requirements are described in a separate collateral agreement, along with a number of other collateral terms.</w:t>
      </w:r>
    </w:p>
    <w:p>
      <w:pPr>
        <w:pStyle w:val="Normal"/>
        <w:rPr/>
      </w:pPr>
      <w:r>
        <w:rPr/>
      </w:r>
    </w:p>
    <w:p>
      <w:pPr>
        <w:pStyle w:val="Normal"/>
        <w:rPr/>
      </w:pPr>
      <w:r>
        <w:rPr/>
        <w:t>The collateral agreement typically contains provisions relating to the grant of the security interest in the collateral, the type of collateral which can be pledged, the delivery mechanics, collateral reuse, custody requirements and other relevant legal and operation provisions.  The most commonly used form of collateral agreement is the ISDA Credit Support Annex prepared by the International Swaps and Derivatives Association (“ISDA”).  Many dealers use their own form of collateral agreements for one-way collateral structures.</w:t>
      </w:r>
    </w:p>
    <w:p>
      <w:pPr>
        <w:pStyle w:val="Normal"/>
        <w:rPr/>
      </w:pPr>
      <w:r>
        <w:rPr/>
      </w:r>
    </w:p>
    <w:p>
      <w:pPr>
        <w:pStyle w:val="Normal"/>
        <w:rPr/>
      </w:pPr>
      <w:r>
        <w:rPr/>
      </w:r>
    </w:p>
    <w:p>
      <w:pPr>
        <w:pStyle w:val="Normal"/>
        <w:rPr/>
      </w:pPr>
      <w:r>
        <w:rPr/>
        <w:t>The confirmation and collateral agreement is often used in conjunction with a master netting agreement, almost exclusively the ISDA Master Agreement, which details events of default, the calculations for close-out value and other standard credit and legal provisions.</w:t>
      </w:r>
    </w:p>
    <w:p>
      <w:pPr>
        <w:pStyle w:val="Normal"/>
        <w:rPr/>
      </w:pPr>
      <w:r>
        <w:rPr/>
      </w:r>
    </w:p>
    <w:p>
      <w:pPr>
        <w:pStyle w:val="Normal"/>
        <w:rPr/>
      </w:pPr>
      <w:r>
        <w:rPr/>
        <w:t>This process of managing Initial Collateral may not always run smoothly.  Many problems can arise.</w:t>
      </w:r>
    </w:p>
    <w:p>
      <w:pPr>
        <w:pStyle w:val="Normal"/>
        <w:rPr/>
      </w:pPr>
      <w:r>
        <w:rPr/>
      </w:r>
    </w:p>
    <w:p>
      <w:pPr>
        <w:pStyle w:val="Normal"/>
        <w:numPr>
          <w:ilvl w:val="0"/>
          <w:numId w:val="24"/>
        </w:numPr>
        <w:rPr/>
      </w:pPr>
      <w:r>
        <w:rPr/>
        <w:t>There may be misunderstanding between different internal units regarding the Initial Collateral.</w:t>
      </w:r>
    </w:p>
    <w:p>
      <w:pPr>
        <w:pStyle w:val="Normal"/>
        <w:rPr/>
      </w:pPr>
      <w:r>
        <w:rPr/>
      </w:r>
    </w:p>
    <w:p>
      <w:pPr>
        <w:pStyle w:val="Normal"/>
        <w:numPr>
          <w:ilvl w:val="0"/>
          <w:numId w:val="18"/>
        </w:numPr>
        <w:rPr/>
      </w:pPr>
      <w:r>
        <w:rPr/>
        <w:t>The Counterparty may be told the wrong amount of Initial Collateral or may not be told of an Initial Collateral amount at all.</w:t>
      </w:r>
    </w:p>
    <w:p>
      <w:pPr>
        <w:pStyle w:val="Normal"/>
        <w:rPr/>
      </w:pPr>
      <w:r>
        <w:rPr/>
      </w:r>
    </w:p>
    <w:p>
      <w:pPr>
        <w:pStyle w:val="Normal"/>
        <w:numPr>
          <w:ilvl w:val="0"/>
          <w:numId w:val="21"/>
        </w:numPr>
        <w:rPr/>
      </w:pPr>
      <w:r>
        <w:rPr/>
        <w:t>The Counterparty may dispute the Initial Collateral amount after the trade.</w:t>
      </w:r>
    </w:p>
    <w:p>
      <w:pPr>
        <w:pStyle w:val="Normal"/>
        <w:rPr/>
      </w:pPr>
      <w:r>
        <w:rPr/>
      </w:r>
    </w:p>
    <w:p>
      <w:pPr>
        <w:pStyle w:val="Normal"/>
        <w:numPr>
          <w:ilvl w:val="0"/>
          <w:numId w:val="8"/>
        </w:numPr>
        <w:rPr/>
      </w:pPr>
      <w:r>
        <w:rPr/>
        <w:t>The Confirmation may incorrectly state or omit the Initial Collateral requirement.</w:t>
      </w:r>
    </w:p>
    <w:p>
      <w:pPr>
        <w:pStyle w:val="Normal"/>
        <w:rPr/>
      </w:pPr>
      <w:r>
        <w:rPr/>
      </w:r>
    </w:p>
    <w:p>
      <w:pPr>
        <w:pStyle w:val="Normal"/>
        <w:numPr>
          <w:ilvl w:val="0"/>
          <w:numId w:val="15"/>
        </w:numPr>
        <w:rPr/>
      </w:pPr>
      <w:r>
        <w:rPr/>
        <w:t>The collateral operations unit may not receive the details of the Initial Collateral.</w:t>
      </w:r>
    </w:p>
    <w:p>
      <w:pPr>
        <w:pStyle w:val="Normal"/>
        <w:rPr/>
      </w:pPr>
      <w:r>
        <w:rPr/>
      </w:r>
    </w:p>
    <w:p>
      <w:pPr>
        <w:pStyle w:val="Normal"/>
        <w:numPr>
          <w:ilvl w:val="0"/>
          <w:numId w:val="12"/>
        </w:numPr>
        <w:rPr/>
      </w:pPr>
      <w:r>
        <w:rPr/>
        <w:t>Calculations for the amount of collateral to be provided or returned may be incorrect.</w:t>
      </w:r>
    </w:p>
    <w:p>
      <w:pPr>
        <w:pStyle w:val="Normal"/>
        <w:rPr/>
      </w:pPr>
      <w:r>
        <w:rPr/>
      </w:r>
    </w:p>
    <w:p>
      <w:pPr>
        <w:pStyle w:val="Normal"/>
        <w:numPr>
          <w:ilvl w:val="0"/>
          <w:numId w:val="4"/>
        </w:numPr>
        <w:rPr/>
      </w:pPr>
      <w:r>
        <w:rPr/>
        <w:t>Collateral may not be called for when required.</w:t>
      </w:r>
    </w:p>
    <w:p>
      <w:pPr>
        <w:pStyle w:val="Normal"/>
        <w:rPr/>
      </w:pPr>
      <w:r>
        <w:rPr/>
      </w:r>
    </w:p>
    <w:p>
      <w:pPr>
        <w:pStyle w:val="Normal"/>
        <w:rPr/>
      </w:pPr>
      <w:r>
        <w:rPr/>
        <w:t>Various other issues can make the Initial Collateral Process a challenge, particularly because many organizations (for valid reasons) maintain separate units for the confirmation process and the master agreement/collateral agreement process.</w:t>
      </w:r>
    </w:p>
    <w:p>
      <w:pPr>
        <w:pStyle w:val="Normal"/>
        <w:rPr/>
      </w:pPr>
      <w:r>
        <w:rPr/>
      </w:r>
    </w:p>
    <w:p>
      <w:pPr>
        <w:pStyle w:val="Normal"/>
        <w:numPr>
          <w:ilvl w:val="0"/>
          <w:numId w:val="6"/>
        </w:numPr>
        <w:rPr/>
      </w:pPr>
      <w:r>
        <w:rPr/>
        <w:t>The description of the total collateral requirement for any transaction and for the entire portfolio of transactions is often a combination of the text in the confirmation and the collateral agreement.  The language in the confirmation may supplement or at times modify the language in the collateral agreement. Failure to taken into account both documents may result in incorrect collateral requirements.</w:t>
      </w:r>
    </w:p>
    <w:p>
      <w:pPr>
        <w:pStyle w:val="Normal"/>
        <w:rPr/>
      </w:pPr>
      <w:r>
        <w:rPr/>
      </w:r>
    </w:p>
    <w:p>
      <w:pPr>
        <w:pStyle w:val="Normal"/>
        <w:numPr>
          <w:ilvl w:val="0"/>
          <w:numId w:val="22"/>
        </w:numPr>
        <w:rPr/>
      </w:pPr>
      <w:r>
        <w:rPr/>
        <w:t>Firms may at any time have in place different forms of collateral agreements, each of which may require different confirmation language to accommodate different definitions and terms in the underlying collateral agreements.</w:t>
      </w:r>
    </w:p>
    <w:p>
      <w:pPr>
        <w:pStyle w:val="Normal"/>
        <w:rPr/>
      </w:pPr>
      <w:r>
        <w:rPr/>
      </w:r>
    </w:p>
    <w:p>
      <w:pPr>
        <w:pStyle w:val="Normal"/>
        <w:numPr>
          <w:ilvl w:val="0"/>
          <w:numId w:val="11"/>
        </w:numPr>
        <w:rPr/>
      </w:pPr>
      <w:r>
        <w:rPr/>
        <w:t>Some transactions may only require Initial Collateral and therefore the underlying market value of the transactions may play no role in any collateral calculations.  Accordingly, the confirmation may require a provision to effectively treat the underlying market value as zero. (This is often the case for certain equity derivatives transactions where the Initial Collateral is a fixed number of equity shares which represents the total maximum credit risk of a transaction.)</w:t>
      </w:r>
    </w:p>
    <w:p>
      <w:pPr>
        <w:pStyle w:val="Normal"/>
        <w:rPr/>
      </w:pPr>
      <w:r>
        <w:rPr/>
      </w:r>
    </w:p>
    <w:p>
      <w:pPr>
        <w:pStyle w:val="Normal"/>
        <w:numPr>
          <w:ilvl w:val="0"/>
          <w:numId w:val="25"/>
        </w:numPr>
        <w:rPr/>
      </w:pPr>
      <w:r>
        <w:rPr/>
        <w:t>Some transactions with the same Counterparty may require Initial Collateral and some may not.  Therefore, organizations need a process to capture whether transactions fit into one group or the other.</w:t>
      </w:r>
    </w:p>
    <w:p>
      <w:pPr>
        <w:pStyle w:val="Normal"/>
        <w:rPr/>
      </w:pPr>
      <w:r>
        <w:rPr/>
      </w:r>
    </w:p>
    <w:p>
      <w:pPr>
        <w:pStyle w:val="Normal"/>
        <w:numPr>
          <w:ilvl w:val="0"/>
          <w:numId w:val="25"/>
        </w:numPr>
        <w:rPr/>
      </w:pPr>
      <w:r>
        <w:rPr/>
        <w:t>Initial Collateral calculations can become extremely complex, especially if they involve rebates or changes based on netted closeout amounts.   These calculations can be difficult to explain, draft, comprehend and model.</w:t>
      </w:r>
    </w:p>
    <w:p>
      <w:pPr>
        <w:pStyle w:val="Normal"/>
        <w:rPr/>
      </w:pPr>
      <w:r>
        <w:rPr/>
      </w:r>
    </w:p>
    <w:p>
      <w:pPr>
        <w:pStyle w:val="Normal"/>
        <w:numPr>
          <w:ilvl w:val="0"/>
          <w:numId w:val="14"/>
        </w:numPr>
        <w:rPr/>
      </w:pPr>
      <w:r>
        <w:rPr/>
        <w:t>Some transactions may be executed prior to the completion of the master agreement and related collateral agreement.  This status may require additional provisions in the confirmation and may complicate the processing of collateral requirements.</w:t>
      </w:r>
    </w:p>
    <w:p>
      <w:pPr>
        <w:pStyle w:val="Normal"/>
        <w:rPr/>
      </w:pPr>
      <w:r>
        <w:rPr/>
      </w:r>
    </w:p>
    <w:p>
      <w:pPr>
        <w:pStyle w:val="Normal"/>
        <w:numPr>
          <w:ilvl w:val="0"/>
          <w:numId w:val="28"/>
        </w:numPr>
        <w:rPr/>
      </w:pPr>
      <w:r>
        <w:rPr/>
        <w:t>The perfection of a security interest in collateral is a highly technical matter.  The steps needed to perfect cash and U. S. Treasury securities may be different than the steps needed to perfect a security interest in other collateral.  Depending on the type of collateral to be taken and the provisions in the collateral agreement, there may be a need for additional language in the confirmation or collateral agreement.</w:t>
      </w:r>
    </w:p>
    <w:p>
      <w:pPr>
        <w:pStyle w:val="Normal"/>
        <w:rPr/>
      </w:pPr>
      <w:r>
        <w:rPr/>
      </w:r>
    </w:p>
    <w:p>
      <w:pPr>
        <w:pStyle w:val="Normal"/>
        <w:rPr/>
      </w:pPr>
      <w:r>
        <w:rPr/>
        <w:t>So how can firms manage these risks?</w:t>
      </w:r>
    </w:p>
    <w:p>
      <w:pPr>
        <w:pStyle w:val="Normal"/>
        <w:rPr/>
      </w:pPr>
      <w:r>
        <w:rPr/>
      </w:r>
    </w:p>
    <w:p>
      <w:pPr>
        <w:pStyle w:val="Normal"/>
        <w:rPr/>
      </w:pPr>
      <w:r>
        <w:rPr/>
        <w:t>There is no single answer, of course, given that firms have different internal systems, organizations and collateral policies.  The answers, moreover, are not necessarily any easy.</w:t>
      </w:r>
    </w:p>
    <w:p>
      <w:pPr>
        <w:pStyle w:val="Normal"/>
        <w:rPr/>
      </w:pPr>
      <w:r>
        <w:rPr/>
      </w:r>
    </w:p>
    <w:p>
      <w:pPr>
        <w:pStyle w:val="Normal"/>
        <w:rPr/>
      </w:pPr>
      <w:r>
        <w:rPr/>
        <w:t>Some recommendations are perhaps obvious.  As a general matter, most important is a need for a high level of clarity in the process itself and clear communication among transaction participants.</w:t>
      </w:r>
    </w:p>
    <w:p>
      <w:pPr>
        <w:pStyle w:val="Normal"/>
        <w:rPr/>
      </w:pPr>
      <w:r>
        <w:rPr/>
      </w:r>
    </w:p>
    <w:p>
      <w:pPr>
        <w:pStyle w:val="Normal"/>
        <w:numPr>
          <w:ilvl w:val="0"/>
          <w:numId w:val="19"/>
        </w:numPr>
        <w:rPr/>
      </w:pPr>
      <w:r>
        <w:rPr/>
        <w:t>The Initial Collateral requirement for each transaction must be clearly determined and communicated to the Counterparty before trading.</w:t>
      </w:r>
    </w:p>
    <w:p>
      <w:pPr>
        <w:pStyle w:val="Normal"/>
        <w:rPr/>
      </w:pPr>
      <w:r>
        <w:rPr/>
      </w:r>
    </w:p>
    <w:p>
      <w:pPr>
        <w:pStyle w:val="Normal"/>
        <w:numPr>
          <w:ilvl w:val="0"/>
          <w:numId w:val="26"/>
        </w:numPr>
        <w:rPr/>
      </w:pPr>
      <w:r>
        <w:rPr/>
        <w:t>The Initial Collateral requirement must be clearly and accurately set forth in the Confirmation (to the extent the Confirmation is the appropriate place.)</w:t>
      </w:r>
    </w:p>
    <w:p>
      <w:pPr>
        <w:pStyle w:val="Normal"/>
        <w:rPr/>
      </w:pPr>
      <w:r>
        <w:rPr/>
      </w:r>
    </w:p>
    <w:p>
      <w:pPr>
        <w:pStyle w:val="Normal"/>
        <w:numPr>
          <w:ilvl w:val="0"/>
          <w:numId w:val="10"/>
        </w:numPr>
        <w:rPr/>
      </w:pPr>
      <w:r>
        <w:rPr/>
        <w:t>Confirmations must be sent to the Counterparty as soon as possible and followed up promptly if not acknowledged.</w:t>
      </w:r>
    </w:p>
    <w:p>
      <w:pPr>
        <w:pStyle w:val="Normal"/>
        <w:rPr/>
      </w:pPr>
      <w:r>
        <w:rPr/>
      </w:r>
    </w:p>
    <w:p>
      <w:pPr>
        <w:pStyle w:val="Normal"/>
        <w:numPr>
          <w:ilvl w:val="0"/>
          <w:numId w:val="23"/>
        </w:numPr>
        <w:rPr/>
      </w:pPr>
      <w:r>
        <w:rPr/>
        <w:t>The collateral operations unit must be advised of any transactions that require Initial Collateral and any systems or collateral calculations must be adjusted accordingly.</w:t>
      </w:r>
    </w:p>
    <w:p>
      <w:pPr>
        <w:pStyle w:val="Normal"/>
        <w:rPr/>
      </w:pPr>
      <w:r>
        <w:rPr/>
      </w:r>
    </w:p>
    <w:p>
      <w:pPr>
        <w:pStyle w:val="Normal"/>
        <w:numPr>
          <w:ilvl w:val="0"/>
          <w:numId w:val="27"/>
        </w:numPr>
        <w:rPr/>
      </w:pPr>
      <w:r>
        <w:rPr/>
        <w:t>The relevant features of the collateral agreements must be summarized and easily available to all relevant participants.  This includes the type of collateral agreement, status, potential for Initial Collateral, types of eligible collateral and other features.</w:t>
      </w:r>
    </w:p>
    <w:p>
      <w:pPr>
        <w:pStyle w:val="Normal"/>
        <w:rPr/>
      </w:pPr>
      <w:r>
        <w:rPr/>
      </w:r>
    </w:p>
    <w:p>
      <w:pPr>
        <w:pStyle w:val="Normal"/>
        <w:numPr>
          <w:ilvl w:val="0"/>
          <w:numId w:val="2"/>
        </w:numPr>
        <w:rPr/>
      </w:pPr>
      <w:r>
        <w:rPr/>
        <w:t>The legal, operational and systems implications of any new Initial Collateral structure must be vetted and understood.</w:t>
      </w:r>
    </w:p>
    <w:p>
      <w:pPr>
        <w:pStyle w:val="Normal"/>
        <w:rPr/>
      </w:pPr>
      <w:r>
        <w:rPr/>
      </w:r>
    </w:p>
    <w:p>
      <w:pPr>
        <w:pStyle w:val="Normal"/>
        <w:numPr>
          <w:ilvl w:val="0"/>
          <w:numId w:val="3"/>
        </w:numPr>
        <w:rPr/>
      </w:pPr>
      <w:r>
        <w:rPr/>
        <w:t>Controls and reporting are necessary to reconcile Initial Collateral activity following trading.</w:t>
      </w:r>
    </w:p>
    <w:p>
      <w:pPr>
        <w:pStyle w:val="Normal"/>
        <w:rPr/>
      </w:pPr>
      <w:r>
        <w:rPr/>
      </w:r>
    </w:p>
    <w:p>
      <w:pPr>
        <w:pStyle w:val="Normal"/>
        <w:numPr>
          <w:ilvl w:val="0"/>
          <w:numId w:val="16"/>
        </w:numPr>
        <w:rPr/>
      </w:pPr>
      <w:r>
        <w:rPr/>
        <w:t>The ongoing compliance with the Initial Collateral requirement and any other collateral requirements must be carefully and consistently monitored.</w:t>
      </w:r>
    </w:p>
    <w:p>
      <w:pPr>
        <w:pStyle w:val="Normal"/>
        <w:rPr/>
      </w:pPr>
      <w:r>
        <w:rPr/>
      </w:r>
    </w:p>
    <w:p>
      <w:pPr>
        <w:pStyle w:val="Normal"/>
        <w:rPr/>
      </w:pPr>
      <w:r>
        <w:rPr/>
        <w:t>A sound collateral process for Initial Collateral (or any kind of collateral) involves many elements.  The more complicated the process becomes, the greater the potential for malfunction.  If something can go wrong, it probably will; and it may do so just when you need it to work well.</w:t>
      </w:r>
    </w:p>
    <w:p>
      <w:pPr>
        <w:pStyle w:val="Normal"/>
        <w:rPr/>
      </w:pPr>
      <w:r>
        <w:rPr/>
      </w:r>
    </w:p>
    <w:p>
      <w:pPr>
        <w:pStyle w:val="Normal"/>
        <w:rPr/>
      </w:pPr>
      <w:r>
        <w:rPr/>
        <w:t>To prevent problems with Initial Collateral, firms need to be organized, rigorous, vigilant and well resourced – before it is too late.</w:t>
      </w:r>
    </w:p>
    <w:p>
      <w:pPr>
        <w:pStyle w:val="Normal"/>
        <w:rPr/>
      </w:pPr>
      <w:r>
        <w:rPr/>
      </w:r>
    </w:p>
    <w:p>
      <w:pPr>
        <w:pStyle w:val="Normal"/>
        <w:rPr/>
      </w:pPr>
      <w:r>
        <w:rPr/>
      </w:r>
    </w:p>
    <w:p>
      <w:pPr>
        <w:pStyle w:val="Normal"/>
        <w:rPr/>
      </w:pPr>
      <w:r>
        <w:rPr/>
        <w:t>Contact:</w:t>
      </w:r>
    </w:p>
    <w:p>
      <w:pPr>
        <w:pStyle w:val="Normal"/>
        <w:rPr/>
      </w:pPr>
      <w:r>
        <w:rPr/>
      </w:r>
    </w:p>
    <w:p>
      <w:pPr>
        <w:pStyle w:val="Normal"/>
        <w:rPr/>
      </w:pPr>
      <w:r>
        <w:rPr/>
        <w:t>Charles A Fishkin</w:t>
      </w:r>
    </w:p>
    <w:p>
      <w:pPr>
        <w:pStyle w:val="Normal"/>
        <w:rPr/>
      </w:pPr>
      <w:r>
        <w:rPr/>
        <w:t>fishkinc@hotmail.com</w:t>
      </w:r>
    </w:p>
    <w:p>
      <w:pPr>
        <w:pStyle w:val="Normal"/>
        <w:rPr/>
      </w:pPr>
      <w:r>
        <w:rPr/>
        <w:t>212.966.7672</w:t>
      </w:r>
    </w:p>
    <w:p>
      <w:pPr>
        <w:pStyle w:val="Normal"/>
        <w:rPr/>
      </w:pPr>
      <w:r>
        <w:rPr/>
      </w:r>
    </w:p>
    <w:p>
      <w:pPr>
        <w:pStyle w:val="Normal"/>
        <w:rPr/>
      </w:pPr>
      <w:r>
        <w:rPr/>
      </w:r>
    </w:p>
    <w:p>
      <w:pPr>
        <w:pStyle w:val="Normal"/>
        <w:rPr/>
      </w:pPr>
      <w:r>
        <w:rPr/>
        <w:t>* A discussion of the legal, credit and operational risk of collateral generally is described in “Managing Collateral for OTC Derivatives,” published in the Standard &amp; Poors Counterparty Ratings Guide, Second Quarter 1999 by Charles A. Fishkin.</w:t>
      </w:r>
    </w:p>
    <w:p>
      <w:pPr>
        <w:pStyle w:val="Normal"/>
        <w:rPr/>
      </w:pPr>
      <w:r>
        <w:rPr/>
      </w:r>
    </w:p>
    <w:p>
      <w:pPr>
        <w:pStyle w:val="Normal"/>
        <w:rPr>
          <w:sz w:val="16"/>
        </w:rPr>
      </w:pPr>
      <w:r>
        <w:rPr>
          <w:sz w:val="16"/>
        </w:rPr>
      </w:r>
    </w:p>
    <w:p>
      <w:pPr>
        <w:pStyle w:val="Normal"/>
        <w:jc w:val="center"/>
        <w:rPr>
          <w:sz w:val="16"/>
        </w:rPr>
      </w:pPr>
      <w:r>
        <w:rPr>
          <w:sz w:val="16"/>
        </w:rPr>
        <w:t>Copyright 1999.  Charles A. Fishkin.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ACTIVE" w:val="THE SPECIAL CASE OF INITIAL COLLATERAL.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1999-11-19T15:49:00Z</dcterms:created>
  <dc:creator>suzanne t. tinley</dc:creator>
  <dc:description/>
  <dc:language>en-CA</dc:language>
  <cp:lastModifiedBy>suzanne t. tinley</cp:lastModifiedBy>
  <cp:lastPrinted>1999-11-19T12:53:00Z</cp:lastPrinted>
  <dcterms:modified xsi:type="dcterms:W3CDTF">1999-11-19T15:49:00Z</dcterms:modified>
  <cp:revision>2</cp:revision>
  <dc:subject/>
  <dc:title>THE SPECIAL CASE OF INITIAL COLLATERAL</dc:title>
</cp:coreProperties>
</file>