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i/>
          <w:i/>
          <w:sz w:val="26"/>
        </w:rPr>
      </w:pPr>
      <w:r>
        <w:rPr>
          <w:b/>
          <w:i/>
          <w:sz w:val="26"/>
        </w:rPr>
      </w:r>
      <w:r>
        <mc:AlternateContent>
          <mc:Choice Requires="wps">
            <w:drawing>
              <wp:anchor behindDoc="0" distT="57150" distB="57150" distL="57150" distR="57150" simplePos="0" locked="0" layoutInCell="0" allowOverlap="1" relativeHeight="2">
                <wp:simplePos x="0" y="0"/>
                <wp:positionH relativeFrom="page">
                  <wp:posOffset>619760</wp:posOffset>
                </wp:positionH>
                <wp:positionV relativeFrom="page">
                  <wp:posOffset>252095</wp:posOffset>
                </wp:positionV>
                <wp:extent cx="1082040" cy="1200150"/>
                <wp:effectExtent l="0" t="0" r="0" b="0"/>
                <wp:wrapSquare wrapText="bothSides"/>
                <wp:docPr id="1" name="Frame1"/>
                <a:graphic xmlns:a="http://schemas.openxmlformats.org/drawingml/2006/main">
                  <a:graphicData uri="http://schemas.microsoft.com/office/word/2010/wordprocessingShape">
                    <wps:wsp>
                      <wps:cNvSpPr txBox="1"/>
                      <wps:spPr>
                        <a:xfrm>
                          <a:off x="0" y="0"/>
                          <a:ext cx="1082040" cy="1200150"/>
                        </a:xfrm>
                        <a:prstGeom prst="rect"/>
                        <a:solidFill>
                          <a:srgbClr val="FFFFFF">
                            <a:alpha val="0"/>
                          </a:srgbClr>
                        </a:solidFill>
                        <a:ln w="9525">
                          <a:solidFill>
                            <a:srgbClr val="FFFFFF"/>
                          </a:solidFill>
                        </a:ln>
                      </wps:spPr>
                      <wps:txbx>
                        <w:txbxContent>
                          <w:p>
                            <w:pPr>
                              <w:pStyle w:val="Normal"/>
                              <w:rPr>
                                <w:rFonts w:ascii="Arial" w:hAnsi="Arial" w:cs="Arial"/>
                              </w:rPr>
                            </w:pPr>
                            <w:r>
                              <w:rPr>
                                <w:rFonts w:cs="Arial" w:ascii="Arial" w:hAnsi="Arial"/>
                              </w:rPr>
                              <w:drawing>
                                <wp:inline distT="0" distB="0" distL="0" distR="0">
                                  <wp:extent cx="3798570" cy="1289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9" t="-28" r="-9" b="-28"/>
                                          <a:stretch>
                                            <a:fillRect/>
                                          </a:stretch>
                                        </pic:blipFill>
                                        <pic:spPr bwMode="auto">
                                          <a:xfrm>
                                            <a:off x="0" y="0"/>
                                            <a:ext cx="3798570" cy="128905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85.2pt;height:94.5pt;mso-wrap-distance-left:4.5pt;mso-wrap-distance-right:4.5pt;mso-wrap-distance-top:4.5pt;mso-wrap-distance-bottom:4.5pt;margin-top:19.85pt;mso-position-vertical-relative:page;margin-left:48.8pt;mso-position-horizontal-relative:page">
                <v:fill opacity="0f"/>
                <v:textbox inset="0in,0in,0in,0in">
                  <w:txbxContent>
                    <w:p>
                      <w:pPr>
                        <w:pStyle w:val="Normal"/>
                        <w:rPr>
                          <w:rFonts w:ascii="Arial" w:hAnsi="Arial" w:cs="Arial"/>
                        </w:rPr>
                      </w:pPr>
                      <w:r>
                        <w:rPr>
                          <w:rFonts w:cs="Arial" w:ascii="Arial" w:hAnsi="Arial"/>
                        </w:rPr>
                        <w:drawing>
                          <wp:inline distT="0" distB="0" distL="0" distR="0">
                            <wp:extent cx="3798570" cy="12890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9" t="-28" r="-9" b="-28"/>
                                    <a:stretch>
                                      <a:fillRect/>
                                    </a:stretch>
                                  </pic:blipFill>
                                  <pic:spPr bwMode="auto">
                                    <a:xfrm>
                                      <a:off x="0" y="0"/>
                                      <a:ext cx="3798570" cy="1289050"/>
                                    </a:xfrm>
                                    <a:prstGeom prst="rect">
                                      <a:avLst/>
                                    </a:prstGeom>
                                    <a:noFill/>
                                  </pic:spPr>
                                </pic:pic>
                              </a:graphicData>
                            </a:graphic>
                          </wp:inline>
                        </w:drawing>
                      </w:r>
                    </w:p>
                  </w:txbxContent>
                </v:textbox>
                <w10:wrap type="square"/>
              </v:rect>
            </w:pict>
          </mc:Fallback>
        </mc:AlternateConten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i/>
          <w:i/>
          <w:sz w:val="26"/>
        </w:rPr>
      </w:pPr>
      <w:r>
        <w:rPr>
          <w:b/>
          <w:i/>
          <w:sz w:val="26"/>
        </w:rPr>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b/>
          <w:i/>
          <w:sz w:val="48"/>
        </w:rPr>
        <w:t>MARINER ENERGY, INC.</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9"/>
        <w:ind w:start="720" w:end="0"/>
        <w:jc w:val="both"/>
        <w:rPr>
          <w:rFonts w:ascii="Arial" w:hAnsi="Arial" w:cs="Arial"/>
          <w:lang w:val="en-CA" w:eastAsia="en-CA"/>
        </w:rPr>
      </w:pPr>
      <w:r>
        <w:rPr>
          <w:rFonts w:cs="Arial" w:ascii="Arial" w:hAnsi="Arial"/>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12065"/>
                <wp:effectExtent l="0" t="635" r="0" b="0"/>
                <wp:wrapNone/>
                <wp:docPr id="4"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6"/>
        </w:rPr>
      </w:pPr>
      <w:r>
        <w:rPr>
          <w:sz w:val="26"/>
        </w:rPr>
        <w:t>580 WestLake Park Blvd., Suite 1300   Houston, Texas  77079</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6"/>
        </w:rPr>
      </w:pPr>
      <w:r>
        <w:rPr>
          <w:sz w:val="26"/>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6"/>
        </w:rPr>
      </w:pPr>
      <w:r>
        <w:rPr>
          <w:sz w:val="26"/>
        </w:rPr>
      </w:r>
    </w:p>
    <w:p>
      <w:pPr>
        <w:pStyle w:val="Normal"/>
        <w:tabs>
          <w:tab w:val="clear" w:pos="720"/>
          <w:tab w:val="right" w:pos="10080" w:leader="none"/>
        </w:tabs>
        <w:ind w:start="720" w:end="0"/>
        <w:jc w:val="both"/>
        <w:rPr>
          <w:b/>
          <w:sz w:val="26"/>
        </w:rPr>
      </w:pPr>
      <w:r>
        <w:rPr>
          <w:sz w:val="26"/>
        </w:rPr>
        <w:tab/>
      </w:r>
      <w:r>
        <w:rPr>
          <w:b/>
          <w:sz w:val="22"/>
        </w:rPr>
        <w:t>INTERNAL CORRESPONDENCE</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b/>
          <w:sz w:val="26"/>
        </w:rPr>
      </w:pPr>
      <w:r>
        <w:rPr>
          <w:b/>
          <w:sz w:val="26"/>
        </w:rPr>
      </w:r>
    </w:p>
    <w:p>
      <w:pPr>
        <w:pStyle w:val="Normal"/>
        <w:tabs>
          <w:tab w:val="clear" w:pos="720"/>
          <w:tab w:val="right" w:pos="10080" w:leader="none"/>
        </w:tabs>
        <w:ind w:firstLine="5760" w:start="720" w:end="0"/>
        <w:jc w:val="both"/>
        <w:rPr>
          <w:sz w:val="26"/>
        </w:rPr>
      </w:pPr>
      <w:r>
        <w:rPr>
          <w:b/>
          <w:sz w:val="26"/>
        </w:rPr>
        <w:tab/>
      </w:r>
      <w:r>
        <w:rPr>
          <w:b/>
          <w:sz w:val="20"/>
        </w:rPr>
        <w:fldChar w:fldCharType="begin"/>
      </w:r>
      <w:r>
        <w:rPr>
          <w:sz w:val="20"/>
          <w:b/>
        </w:rPr>
        <w:instrText xml:space="preserve"> DATE \@"MMMM\ d', 'yyyy" </w:instrText>
      </w:r>
      <w:r>
        <w:rPr>
          <w:sz w:val="20"/>
          <w:b/>
        </w:rPr>
        <w:fldChar w:fldCharType="separate"/>
      </w:r>
      <w:r>
        <w:rPr>
          <w:sz w:val="20"/>
          <w:b/>
        </w:rPr>
        <w:t>September 28, 2025</w:t>
      </w:r>
      <w:r>
        <w:rPr>
          <w:sz w:val="20"/>
          <w:b/>
        </w:rPr>
        <w:fldChar w:fldCharType="end"/>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0"/>
        </w:rPr>
      </w:pPr>
      <w:r>
        <w:rPr>
          <w:sz w:val="20"/>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0"/>
        </w:rPr>
      </w:pPr>
      <w:r>
        <w:rPr>
          <w:sz w:val="20"/>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TO:</w:t>
        <w:tab/>
        <w:tab/>
        <w:t>Allan D. Keel</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rPr/>
      </w:pPr>
      <w:r>
        <w:rPr>
          <w:sz w:val="22"/>
        </w:rPr>
        <w:t>FROM:</w:t>
        <w:tab/>
        <w:tab/>
        <w:t>Richard R. Clark</w:t>
        <w:tab/>
        <w:tab/>
        <w:tab/>
        <w:tab/>
        <w:tab/>
        <w:tab/>
        <w:tab/>
        <w:tab/>
        <w:t xml:space="preserve">     </w:t>
      </w:r>
      <w:r>
        <w:rPr>
          <w:sz w:val="20"/>
        </w:rPr>
        <w:t>eds</w:t>
      </w:r>
      <w:r>
        <w:rPr>
          <w:sz w:val="22"/>
        </w:rPr>
        <w:tab/>
        <w:tab/>
        <w:tab/>
        <w:tab/>
        <w:tab/>
        <w:tab/>
        <w:tab/>
        <w:tab/>
        <w:t xml:space="preserve">      </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9"/>
        <w:ind w:start="720" w:end="0"/>
        <w:jc w:val="both"/>
        <w:rPr>
          <w:sz w:val="22"/>
          <w:lang w:val="en-CA" w:eastAsia="en-CA"/>
        </w:rPr>
      </w:pPr>
      <w:r>
        <w:rPr>
          <w:sz w:val="22"/>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12065"/>
                <wp:effectExtent l="0" t="635" r="0" b="0"/>
                <wp:wrapNone/>
                <wp:docPr id="5"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SUBJECT:</w:t>
        <w:tab/>
        <w:t>Proposed TGS Risk Share Agreement in Mississippi Canyon</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Heading1"/>
        <w:rPr/>
      </w:pPr>
      <w:r>
        <w:rPr/>
        <w:t>Executive Summary</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It is my recommendation to seek Board approval of a $6,562,652 commitment to purchase a 547 block regional 3D database located in Mississippi Canyon from TGS-NOPEC Geophysical Company (TGS).  The data is newly shot, pre-stack time migrated data which represents the highest quality 3D currently available in the area. TGS is offering the data at a sigificant discount to its existing bulk purchase discounts in return for the opportunity to earn “risk sharing” bonuses based upon Mariner’s exploration activities in the data area.  Mariner is able to pay the initial license fee over  2½  years, which will represent a cash outlay of only $1,897,012 in 2001.  Incremental cash in 2001 is actually $1,166,410 because Mariner has already licensed nine blocks of this data for which Mariner owes a fee of approximately $730,602.  Mariner would be allowed to include this previously licensed data under the new deal.</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Mississippi Canyon represents one of the most prolific areas in the deepwater Gulf.  Mariner has generated 4 discoveries in the area totaling 115 MBOE in the last 3 years.  The regional 3D database will significantly increase Mariner’s capacity to generate prospects.  By committing to a bulk purchase, risk-reward structure, the up front cost per block for the data is reduced from $80,000/block to $11,300/block.  Therefore for the same dollars we can evaluate a much larger area in greater detail then we could using 2D to generate leads then purchasing the 3D at near full price to map the prospects.  By spreading the payments for the data over 2.5 years, our annual G&amp;G cash expenditures remain near our historic levels, but we have access to a much larger volume of data.  This will translate into a higher volume of prospects generated, and a better assessment of risk due to our regional work.  Mariner has successfully promoted three prospects in the area in the last 4 years.  The promote value per prospect ranged from $5 to $7 million.  We expect to generate 10-12 prospects in this area over the next 3 to 4 years.  Assuming we promote half of them, the promote value alone would be $25 million.  A single success would have an NPV 10 net to Mariner of $50 to $100 million.  Based  on our historic success rate, we would expect 3 to 5 successes in this area, which could add significant value to the company.  I recommend your approval of this commitment.</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Heading1"/>
        <w:rPr/>
      </w:pPr>
      <w:r>
        <w:rPr/>
        <w:t>Description of the TGS Program</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TGS has recently completed acquisition of a continuous 3D survey that encompasses the eastern 80% of Mississippi Canyon.  This survey is a continuation of the survey acquired by TGS over the Eastern Gulf of Mexico of which Mariner has licensed 210 blocks.  TGS is offering Mariner the opportunity to license 536 blocks of the data for an initial license fee of $6,562,652, payable over 2½ years in quarterly installments.  In return for the 40% reduction in the initial license fee, TGS has the opportunity to earn bonuses based upon Mariner exploration success on leases acquired over the next 8 years within the data area.  The bonuses that can be earned by TGS are as follows:</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18"/>
        </w:rPr>
      </w:pPr>
      <w:r>
        <w:rPr>
          <w:sz w:val="18"/>
        </w:rPr>
        <w:t>Memo to:  Allan D. Keel</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18"/>
        </w:rPr>
      </w:pPr>
      <w:r>
        <w:rPr>
          <w:sz w:val="18"/>
        </w:rPr>
        <w:t>Re:  Proposed TGS Risk Share Agreement in Mississippi Canyon</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18"/>
        </w:rPr>
      </w:pPr>
      <w:r>
        <w:rPr>
          <w:sz w:val="18"/>
        </w:rPr>
        <w:t>October 17, 2001</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0"/>
        </w:rPr>
      </w:pPr>
      <w:r>
        <w:rPr>
          <w:sz w:val="18"/>
        </w:rPr>
        <w:t>Page 2</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sz w:val="22"/>
        </w:rPr>
        <w:tab/>
      </w:r>
      <w:r>
        <w:rPr>
          <w:i/>
          <w:sz w:val="20"/>
        </w:rPr>
        <w:t>Lease Bonus</w:t>
      </w:r>
      <w:r>
        <w:rPr>
          <w:sz w:val="20"/>
        </w:rPr>
        <w:tab/>
        <w:tab/>
        <w:t>$100,000 for each lease acquired by Mariner in the data area</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sz w:val="20"/>
        </w:rPr>
        <w:tab/>
      </w:r>
      <w:r>
        <w:rPr>
          <w:i/>
          <w:sz w:val="20"/>
        </w:rPr>
        <w:t>Drilling Bonus</w:t>
        <w:tab/>
      </w:r>
      <w:r>
        <w:rPr>
          <w:sz w:val="20"/>
        </w:rPr>
        <w:tab/>
        <w:t>$100,000 for each exploratory well drilled by Mariner in the data area</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sz w:val="20"/>
        </w:rPr>
        <w:tab/>
      </w:r>
      <w:r>
        <w:rPr>
          <w:i/>
          <w:sz w:val="20"/>
        </w:rPr>
        <w:t>Discovery Bonus</w:t>
      </w:r>
      <w:r>
        <w:rPr>
          <w:sz w:val="20"/>
        </w:rPr>
        <w:tab/>
        <w:t>$100,000 for each discovery made by Mariner in the data area</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0"/>
        </w:rPr>
        <w:tab/>
      </w:r>
      <w:r>
        <w:rPr>
          <w:i/>
          <w:sz w:val="20"/>
        </w:rPr>
        <w:t>Production Bonus</w:t>
      </w:r>
      <w:r>
        <w:rPr>
          <w:sz w:val="20"/>
        </w:rPr>
        <w:tab/>
        <w:t>$650,000 within 90 days of bringing production on line</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The total bonus payments to TGS are capped at $950,000 per block.</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We developed a model to evalute the return to TGS from this risk share deal.  The results are presented below.</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tbl>
      <w:tblPr>
        <w:tblW w:w="5760" w:type="dxa"/>
        <w:jc w:val="start"/>
        <w:tblInd w:w="2358" w:type="dxa"/>
        <w:tblLayout w:type="fixed"/>
        <w:tblCellMar>
          <w:top w:w="0" w:type="dxa"/>
          <w:start w:w="108" w:type="dxa"/>
          <w:bottom w:w="0" w:type="dxa"/>
          <w:end w:w="108" w:type="dxa"/>
        </w:tblCellMar>
      </w:tblPr>
      <w:tblGrid>
        <w:gridCol w:w="1620"/>
        <w:gridCol w:w="1440"/>
        <w:gridCol w:w="1440"/>
        <w:gridCol w:w="1260"/>
      </w:tblGrid>
      <w:tr>
        <w:trPr/>
        <w:tc>
          <w:tcPr>
            <w:tcW w:w="1620" w:type="dxa"/>
            <w:tcBorders>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napToGrid w:val="false"/>
              <w:jc w:val="both"/>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Wells</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Drilled</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napToGrid w:val="false"/>
              <w:jc w:val="center"/>
              <w:rPr>
                <w:sz w:val="20"/>
              </w:rPr>
            </w:pPr>
            <w:r>
              <w:rPr>
                <w:sz w:val="20"/>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Discoveries</w:t>
            </w:r>
          </w:p>
        </w:tc>
        <w:tc>
          <w:tcPr>
            <w:tcW w:w="1260" w:type="dxa"/>
            <w:tcBorders>
              <w:top w:val="single" w:sz="4" w:space="0" w:color="000000"/>
              <w:start w:val="single" w:sz="4" w:space="0" w:color="000000"/>
              <w:bottom w:val="single" w:sz="4" w:space="0" w:color="000000"/>
              <w:end w:val="single" w:sz="4" w:space="0" w:color="000000"/>
            </w:tcBorders>
            <w:shd w:fill="E5E5E5" w:val="clear"/>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IRR</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0"/>
              </w:rPr>
            </w:pPr>
            <w:r>
              <w:rPr>
                <w:sz w:val="20"/>
              </w:rPr>
              <w:t>Base Case</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12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4</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9</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0"/>
              </w:rPr>
            </w:pPr>
            <w:r>
              <w:rPr>
                <w:sz w:val="20"/>
              </w:rPr>
              <w:t>Downside</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6</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-10</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0"/>
              </w:rPr>
            </w:pPr>
            <w:r>
              <w:rPr>
                <w:sz w:val="20"/>
              </w:rPr>
              <w:t>Upside</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15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7</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t>17</w:t>
            </w:r>
          </w:p>
        </w:tc>
      </w:tr>
    </w:tbl>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BodyTextIndent"/>
        <w:rPr/>
      </w:pPr>
      <w:r>
        <w:rPr/>
        <w:t>The model assumptions are that Mariner is able to acquire 12 prospects in the Mississippi Canyon data area over the next 8 years, drill 12 exploratory wells and have 4 discoveries.  In this base case model, TGS earns a 9% rate of return on the license fee that they have at risk.  For the upside case, we assume a better success ratio, earning TGS a 17% rate of return.  TGS does not break even if Mariner is only able to acquire and drill 6 prospects, and make 3 discoveries.</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b/>
          <w:sz w:val="22"/>
          <w:u w:val="single"/>
        </w:rPr>
      </w:pPr>
      <w:r>
        <w:rPr>
          <w:b/>
          <w:sz w:val="22"/>
          <w:u w:val="single"/>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b/>
          <w:sz w:val="22"/>
          <w:u w:val="single"/>
        </w:rPr>
        <w:t>Additional Value Considerations</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While this database represents a significant commitment for Mariner, it also represents an important asset of the company.  All Mariner has to do to recoup its investment in this data is to acquire and promote two prospects in the data area.  Mariner has already used a protion of the data to generate a lease sale prospect that earned the company a drilling promote of over $5 million.  If at least one additional prospect can be generated and sold within a year, the license fee will already have been recouped.  Additionally, this data covers several blocks in which Mariner already owns a financial interest.  Typically, seismic companies will charge a 300% premium to companies wishing to license data over blocks in which a financial interest is owned.  Mariner would realize at least $1 million in savings on these blocks and have the advantage of acquiring state of the art data over several of its properties, including Pluto.  If and when Mariner conducts an IPO or a sale or merger of the company, the public markets and/or potential strategic purchasers of Mariner will recognize the advantage of this data and its importance to Mariner’s continued deepwater activities.</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Heading1"/>
        <w:rPr/>
      </w:pPr>
      <w:r>
        <w:rPr/>
        <w:t>Change in Control</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t xml:space="preserve">Because of  the possibility of an IPO, a sale or  merger of Mariner, or some other change in control of the  company, several  modifications  to the  existing Master License Agreement (MLA)  between TGS and  Mariner were  negotiated.  The intent is to  avoid creating  a signifcant  financial hurdle that would  impede a possible near-term  transaction  and to minimize  the payment of tranfer  fees until Mariner has had some  period  of  time to realize some of the value of this database.  Under the existing  MLA, if Mariner is  acquired by a third party and wishes to  transfer its license to this Mississippi Canyon data to the new entity, a  transfer fee of  approximately $10 million would  be due TGS.  TGS has  agreed that, if Mariner is acquired  by a third party who is not a financial purchaser, prior to  June 30, 2002, the fee to transfer the  new Mississippi Canyon  data would  be $1.2 million, or $8.8 million  less than the  transfer fee owed under the current MLA.  They also agreed that  Mariner  could  conduct  an IPO  or  the sale  of  the company  to  a financial  purchaser  without </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0"/>
        </w:rPr>
      </w:pPr>
      <w:r>
        <w:rPr>
          <w:sz w:val="20"/>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18"/>
        </w:rPr>
      </w:pPr>
      <w:r>
        <w:rPr>
          <w:sz w:val="18"/>
        </w:rPr>
        <w:t>Memo to:  Allan D. Keel</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18"/>
        </w:rPr>
      </w:pPr>
      <w:r>
        <w:rPr>
          <w:sz w:val="18"/>
        </w:rPr>
        <w:t>Re:  Proposed TGS Risk Share Agreement in Mississippi Canyon</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18"/>
        </w:rPr>
      </w:pPr>
      <w:r>
        <w:rPr>
          <w:sz w:val="18"/>
        </w:rPr>
        <w:t>October 17, 2001</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0"/>
        </w:rPr>
      </w:pPr>
      <w:r>
        <w:rPr>
          <w:sz w:val="18"/>
        </w:rPr>
        <w:t>Page 3</w:t>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Normal"/>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2"/>
        </w:rPr>
      </w:pPr>
      <w:r>
        <w:rPr>
          <w:sz w:val="22"/>
        </w:rPr>
      </w:r>
    </w:p>
    <w:p>
      <w:pPr>
        <w:pStyle w:val="BodyTextIndent"/>
        <w:rPr/>
      </w:pPr>
      <w:r>
        <w:rPr/>
        <w:t>incurring transfer fees.  In cases where the acquiring party has existing activity in blocks in the data area, there are provisions for exempting those blocks from the bonus structure.  Additionally, if a third party transaction by a non-financial purchaser is announced by June 30, 2002, the acquirer will have the option to buy TGS out of its risk share bonuses for a one time payment of $6 million.</w:t>
      </w:r>
    </w:p>
    <w:p>
      <w:pPr>
        <w:pStyle w:val="BodyTextIndent"/>
        <w:rPr/>
      </w:pPr>
      <w:r>
        <w:rPr/>
      </w:r>
    </w:p>
    <w:p>
      <w:pPr>
        <w:pStyle w:val="BodyTextIndent"/>
        <w:rPr>
          <w:b/>
          <w:u w:val="single"/>
        </w:rPr>
      </w:pPr>
      <w:r>
        <w:rPr>
          <w:b/>
          <w:u w:val="single"/>
        </w:rPr>
        <w:t>Summary</w:t>
      </w:r>
    </w:p>
    <w:p>
      <w:pPr>
        <w:pStyle w:val="BodyTextIndent"/>
        <w:rPr>
          <w:b/>
          <w:u w:val="single"/>
        </w:rPr>
      </w:pPr>
      <w:r>
        <w:rPr>
          <w:b/>
          <w:u w:val="single"/>
        </w:rPr>
      </w:r>
    </w:p>
    <w:p>
      <w:pPr>
        <w:pStyle w:val="BodyTextIndent"/>
        <w:rPr/>
      </w:pPr>
      <w:r>
        <w:rPr/>
        <w:t>Mariner has negotiated a very attractive risk sharing deal with TGS covering one of the highest potential exploration areas of the deepwater Gulf of Mexico. Given the highly discounted up front license fees negotiated in this deal and the ability to acquire much more data than our budget would otherwise permit, Mariner expects to significantly increase the number of exploration opportunities identifed and developed within the data area versus an exploration program without this database. It is recommended that the Board approve this proposal.</w:t>
      </w:r>
    </w:p>
    <w:sectPr>
      <w:type w:val="nextPage"/>
      <w:pgSz w:w="12240" w:h="15840"/>
      <w:pgMar w:left="720" w:right="144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outlineLvl w:val="0"/>
    </w:pPr>
    <w:rPr>
      <w:b/>
      <w:sz w:val="22"/>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720" w:leader="none"/>
        <w:tab w:val="left" w:pos="0" w:leader="none"/>
        <w:tab w:val="left" w:pos="59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2001-10-17T10:57:00Z</dcterms:created>
  <dc:creator>Esther Salazar</dc:creator>
  <dc:description/>
  <dc:language>en-CA</dc:language>
  <cp:lastModifiedBy>DCAGLE</cp:lastModifiedBy>
  <cp:lastPrinted>2001-10-16T08:47:00Z</cp:lastPrinted>
  <dcterms:modified xsi:type="dcterms:W3CDTF">2001-10-17T10:57:00Z</dcterms:modified>
  <cp:revision>2</cp:revision>
  <dc:subject/>
  <dc:title> </dc:title>
</cp:coreProperties>
</file>