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____ day of ___________, 1999, (the "Effective Date") by an between </w:t>
      </w:r>
      <w:r>
        <w:rPr>
          <w:b/>
        </w:rPr>
        <w:t>ENRON COMPRESSION SERVICES COMPANY</w:t>
      </w:r>
      <w:r>
        <w:rPr/>
        <w:t xml:space="preserve">, a Delaware corporation ("ECS") and </w:t>
      </w:r>
      <w:r>
        <w:rPr>
          <w:b/>
          <w:bCs/>
        </w:rPr>
        <w:t>TENNESSEE GAS PIPELINE</w:t>
      </w:r>
      <w:r>
        <w:rPr>
          <w:b/>
        </w:rPr>
        <w:t xml:space="preserve"> COMPANY</w:t>
      </w:r>
      <w:r>
        <w:rPr/>
        <w:t>, a Delaware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leases certain Compressor Motor Facilities (hereafter defined), which shall be located at ____________ on Operator’s pipeline system near _________, Pennsylvania (the "Compressor Station");</w:t>
      </w:r>
    </w:p>
    <w:p>
      <w:pPr>
        <w:pStyle w:val="Normal"/>
        <w:jc w:val="both"/>
        <w:rPr/>
      </w:pPr>
      <w:r>
        <w:rPr/>
      </w:r>
    </w:p>
    <w:p>
      <w:pPr>
        <w:pStyle w:val="Normal"/>
        <w:jc w:val="both"/>
        <w:rPr/>
      </w:pPr>
      <w:r>
        <w:rPr/>
        <w:tab/>
        <w:t>WHEREAS,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of even date herewith, between ECS and Operator.</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Normal"/>
        <w:jc w:val="both"/>
        <w:rPr/>
      </w:pPr>
      <w:r>
        <w:rPr/>
        <w:tab/>
        <w:t>"Lease Agreement" shall mean that certain Electric Motor Lease Agreement, of even date herewith, between ECS and Operator.</w:t>
      </w:r>
    </w:p>
    <w:p>
      <w:pPr>
        <w:pStyle w:val="Normal"/>
        <w:jc w:val="both"/>
        <w:rPr/>
      </w:pPr>
      <w:r>
        <w:rPr/>
      </w:r>
    </w:p>
    <w:p>
      <w:pPr>
        <w:pStyle w:val="Normal"/>
        <w:jc w:val="both"/>
        <w:rPr/>
      </w:pPr>
      <w:r>
        <w:rPr/>
        <w:tab/>
        <w:t>"Leased Premises" shall mean that property leased to ECS by Operator according to the terms of the Lease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is defined in the Compression Services Agreement.</w:t>
      </w:r>
    </w:p>
    <w:p>
      <w:pPr>
        <w:pStyle w:val="Normal"/>
        <w:jc w:val="both"/>
        <w:rPr/>
      </w:pPr>
      <w:r>
        <w:rPr/>
      </w:r>
    </w:p>
    <w:p>
      <w:pPr>
        <w:pStyle w:val="Normal"/>
        <w:jc w:val="both"/>
        <w:rPr/>
      </w:pPr>
      <w:r>
        <w:rPr/>
        <w:tab/>
        <w:t>"HP-Hours" is defined in the Compression Services Agreement.</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ind w:firstLine="720" w:end="0"/>
        <w:jc w:val="both"/>
        <w:rPr/>
      </w:pPr>
      <w:r>
        <w:rPr/>
      </w:r>
    </w:p>
    <w:p>
      <w:pPr>
        <w:pStyle w:val="Normal"/>
        <w:jc w:val="both"/>
        <w:rPr/>
      </w:pPr>
      <w:r>
        <w:rPr/>
        <w:tab/>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having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Compressor Motor Facilities pursuant to and consistent with: (i) the policies and procedures of __________________________ Standard Operating Procedures, as amended from time-to-time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Compressor Motor Facilities:</w:t>
      </w:r>
    </w:p>
    <w:p>
      <w:pPr>
        <w:pStyle w:val="Normal"/>
        <w:jc w:val="both"/>
        <w:rPr>
          <w:u w:val="single"/>
        </w:rPr>
      </w:pPr>
      <w:r>
        <w:rPr>
          <w:u w:val="single"/>
        </w:rPr>
      </w:r>
    </w:p>
    <w:p>
      <w:pPr>
        <w:pStyle w:val="Normal"/>
        <w:jc w:val="both"/>
        <w:rPr/>
      </w:pPr>
      <w:r>
        <w:rPr/>
        <w:t>(a)</w:t>
        <w:tab/>
      </w:r>
      <w:r>
        <w:rPr>
          <w:u w:val="single"/>
        </w:rPr>
        <w:t>Operation and Maintenance Services</w:t>
      </w:r>
      <w:r>
        <w:rPr/>
        <w:t>.  Operator shall, in accordance with Standard Industry Practice, at its sole cost and expense, procure and furnish all materials, equipment, services, supplies, and labor necessary for the routine operation and maintenance of the Compressor Motor Facilities in accordance with all material agreements and all applicable Laws, insurance policies and permits pertaining to the Compressor Motor Facilities and the Compressor Station.  Without limiting the general authority provided above, Operator shall have the right and duty to do (or cause to be done):</w:t>
      </w:r>
    </w:p>
    <w:p>
      <w:pPr>
        <w:pStyle w:val="Normal"/>
        <w:jc w:val="both"/>
        <w:rPr>
          <w:u w:val="single"/>
        </w:rPr>
      </w:pPr>
      <w:r>
        <w:rPr>
          <w:u w:val="single"/>
        </w:rPr>
      </w:r>
    </w:p>
    <w:p>
      <w:pPr>
        <w:pStyle w:val="Normal"/>
        <w:ind w:firstLine="720" w:end="0"/>
        <w:jc w:val="both"/>
        <w:rPr/>
      </w:pPr>
      <w:r>
        <w:rPr/>
        <w:t>(i)</w:t>
        <w:tab/>
        <w:t>Operate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Compressor Motor Facilities (including any facilities which are part of the Compressor Motor Facilities) in good working order, including the performance of periodic testing, adjustment, external and internal inspection of the Compressor Motor Facilities as are recommended by the manufacturers or may be required from time to time, and such maintenance, reconditioning or overhaul as may be necessary and appropriate to maintain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Compressor Motor Facilities and, upon notice and approval of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Compressor Motor Facilities;</w:t>
      </w:r>
    </w:p>
    <w:p>
      <w:pPr>
        <w:pStyle w:val="Normal"/>
        <w:jc w:val="both"/>
        <w:rPr/>
      </w:pPr>
      <w:r>
        <w:rPr/>
      </w:r>
    </w:p>
    <w:p>
      <w:pPr>
        <w:pStyle w:val="Normal"/>
        <w:jc w:val="both"/>
        <w:rPr/>
      </w:pPr>
      <w:r>
        <w:rPr/>
        <w:tab/>
        <w:t>(xii)</w:t>
        <w:tab/>
        <w:t>Provide adequate security for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ANNUAL OPERATING AND MAINTENANCE FEE</w:t>
      </w:r>
    </w:p>
    <w:p>
      <w:pPr>
        <w:pStyle w:val="Normal"/>
        <w:rPr>
          <w:b/>
        </w:rPr>
      </w:pPr>
      <w:r>
        <w:rPr>
          <w:b/>
        </w:rPr>
      </w:r>
    </w:p>
    <w:p>
      <w:pPr>
        <w:pStyle w:val="BodyText2"/>
        <w:ind w:firstLine="720" w:start="0" w:end="0"/>
        <w:jc w:val="both"/>
        <w:rPr/>
      </w:pPr>
      <w:r>
        <w:rPr/>
        <w:t>3.1</w:t>
        <w:tab/>
      </w:r>
      <w:r>
        <w:rPr>
          <w:u w:val="single"/>
        </w:rPr>
        <w:t>Annual Operating and Maintenance Fee.</w:t>
      </w:r>
      <w:r>
        <w:rPr/>
        <w:t xml:space="preserve">  ECS shall pay Operator an Annual Operating and Maintenance Fee to operate and maintain the Compressor Motor Facilities (including the provision of administrative services) during each Contract Year during the Term.  The Annual Operating and Maintenance Fees are set forth on Exhibit “B” which is attached hereto, made a part hereof and incorporated herein for all purposes.  The Annual Operating and Maintenance Fee covers all of Operator’s operation and maintenance costs incurred in the operation of the Compressor Motor Facilities hereunder including, without limitation, (i) all capital expenditures, (ii) all scheduled maintenance and repair for the particular Contract Year, (iii) all operations, and (v) all costs of insurance required per Article 11 of this Agreement.  The Annual Operating and Maintenance Fee shall be paid by ECS to Operator in twelve (12) monthly installments, each equal to 1/12</w:t>
      </w:r>
      <w:r>
        <w:rPr>
          <w:vertAlign w:val="superscript"/>
        </w:rPr>
        <w:t>th</w:t>
      </w:r>
      <w:r>
        <w:rPr/>
        <w:t xml:space="preserve"> of the Annual Operating and Maintenance Fee as set forth in Exhibit “B” hereto.  Such monthly payments shall be made on the first business day of each month by wire transfer to an account to be designated by Operator.  Should this Agreement terminate prior to the end of any Contract Year the Annual Operating and Maintenance fee shall be prorated based upon the portion of the year in which the Agreement was in effect.</w:t>
      </w:r>
    </w:p>
    <w:p>
      <w:pPr>
        <w:pStyle w:val="Normal"/>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ind w:hanging="0" w:end="0"/>
        <w:jc w:val="center"/>
        <w:rPr>
          <w:b/>
        </w:rPr>
      </w:pPr>
      <w:r>
        <w:rPr>
          <w:b/>
        </w:rPr>
      </w:r>
    </w:p>
    <w:p>
      <w:pPr>
        <w:pStyle w:val="BodyTextIndent2"/>
        <w:ind w:hanging="0" w:end="0"/>
        <w:jc w:val="center"/>
        <w:rPr>
          <w:b/>
        </w:rPr>
      </w:pPr>
      <w:r>
        <w:rPr>
          <w:b/>
        </w:rPr>
        <w:t>ARTICLE 5.</w:t>
      </w:r>
    </w:p>
    <w:p>
      <w:pPr>
        <w:pStyle w:val="BodyTextIndent2"/>
        <w:ind w:hanging="0" w:end="0"/>
        <w:jc w:val="center"/>
        <w:rPr>
          <w:u w:val="single"/>
        </w:rPr>
      </w:pPr>
      <w:r>
        <w:rPr>
          <w:b/>
          <w:u w:val="single"/>
        </w:rPr>
        <w:t>INGRESS AND EGRESS</w:t>
      </w:r>
    </w:p>
    <w:p>
      <w:pPr>
        <w:pStyle w:val="BodyTextIndent2"/>
        <w:jc w:val="both"/>
        <w:rPr>
          <w:u w:val="single"/>
        </w:rPr>
      </w:pPr>
      <w:r>
        <w:rPr>
          <w:u w:val="single"/>
        </w:rPr>
      </w:r>
    </w:p>
    <w:p>
      <w:pPr>
        <w:pStyle w:val="BodyTextIndent"/>
        <w:tabs>
          <w:tab w:val="clear" w:pos="1440"/>
          <w:tab w:val="left" w:pos="720" w:leader="none"/>
        </w:tabs>
        <w:ind w:start="0" w:end="0"/>
        <w:rPr/>
      </w:pPr>
      <w:r>
        <w:rPr/>
        <w:tab/>
        <w:t xml:space="preserve">ECS hereby grants to Operator non-exclusive rights of ingress and egress to the Leased Premises to perform the services described in Article 2.  Operator shall utilized the Leased Premises and shall cause its employees, agents, contractors, subcontractors and related persons to utilize the leased premises as reasonably prudent operators and in a good and workmanlike manner.  </w:t>
      </w:r>
    </w:p>
    <w:p>
      <w:pPr>
        <w:pStyle w:val="BodyTextIndent2"/>
        <w:jc w:val="both"/>
        <w:rPr/>
      </w:pPr>
      <w:r>
        <w:rPr/>
      </w:r>
    </w:p>
    <w:p>
      <w:pPr>
        <w:pStyle w:val="BodyTextIndent2"/>
        <w:ind w:hanging="0" w:end="0"/>
        <w:jc w:val="center"/>
        <w:rPr>
          <w:b/>
        </w:rPr>
      </w:pPr>
      <w:r>
        <w:rPr>
          <w:b/>
        </w:rPr>
        <w:t>ARTICLE 6.</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6.1</w:t>
        <w:tab/>
      </w:r>
      <w:r>
        <w:rPr>
          <w:u w:val="single"/>
        </w:rPr>
        <w:t>Term.</w:t>
      </w:r>
      <w:r>
        <w:rPr/>
        <w:t xml:space="preserve">  Except as otherwise provided herein, this Agreement shall become effective upon execution and shall continue in full force and effect for a term of 10 years commencing on the Start Date and ending on the 10th anniversary of the Start Date (the "Term").</w:t>
      </w:r>
    </w:p>
    <w:p>
      <w:pPr>
        <w:pStyle w:val="BodyText2"/>
        <w:rPr/>
      </w:pPr>
      <w:r>
        <w:rPr/>
      </w:r>
    </w:p>
    <w:p>
      <w:pPr>
        <w:pStyle w:val="BodyTextIndent2"/>
        <w:tabs>
          <w:tab w:val="clear" w:pos="720"/>
          <w:tab w:val="left" w:pos="1440" w:leader="none"/>
        </w:tabs>
        <w:ind w:hanging="720" w:start="1440" w:end="0"/>
        <w:jc w:val="both"/>
        <w:rPr/>
      </w:pPr>
      <w:r>
        <w:rPr/>
        <w:t>6.2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ind w:start="720" w:end="0"/>
        <w:jc w:val="both"/>
        <w:rPr/>
      </w:pPr>
      <w:r>
        <w:rPr/>
        <w:t>(i)</w:t>
        <w:tab/>
        <w:t>Both Parties hereto may terminate this Agreement at any time by mutual agreement in writing executed by both Parties; or</w:t>
      </w:r>
    </w:p>
    <w:p>
      <w:pPr>
        <w:pStyle w:val="BodyTextIndent2"/>
        <w:ind w:hanging="0" w:start="1440" w:end="0"/>
        <w:jc w:val="both"/>
        <w:rPr/>
      </w:pPr>
      <w:r>
        <w:rPr/>
      </w:r>
    </w:p>
    <w:p>
      <w:pPr>
        <w:pStyle w:val="BodyTextIndent2"/>
        <w:tabs>
          <w:tab w:val="left" w:pos="720" w:leader="none"/>
        </w:tabs>
        <w:ind w:hanging="720" w:start="720" w:end="0"/>
        <w:jc w:val="both"/>
        <w:rPr/>
      </w:pPr>
      <w:r>
        <w:rPr/>
        <w:tab/>
        <w:tab/>
        <w:t>(ii)</w:t>
        <w:tab/>
        <w:t xml:space="preserve">Upon the occurrence of any default by ECS in the payment of the Annual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or </w:t>
      </w:r>
    </w:p>
    <w:p>
      <w:pPr>
        <w:pStyle w:val="BodyTextIndent2"/>
        <w:numPr>
          <w:ilvl w:val="0"/>
          <w:numId w:val="0"/>
        </w:numPr>
        <w:ind w:hanging="0" w:start="1440" w:end="0"/>
        <w:jc w:val="both"/>
        <w:rPr/>
      </w:pPr>
      <w:r>
        <w:rPr/>
      </w:r>
    </w:p>
    <w:p>
      <w:pPr>
        <w:pStyle w:val="BodyTextIndent2"/>
        <w:numPr>
          <w:ilvl w:val="0"/>
          <w:numId w:val="3"/>
        </w:numPr>
        <w:tabs>
          <w:tab w:val="clear" w:pos="720"/>
          <w:tab w:val="left" w:pos="1890" w:leader="none"/>
        </w:tabs>
        <w:ind w:firstLine="720" w:start="720" w:end="0"/>
        <w:jc w:val="both"/>
        <w:rPr/>
      </w:pPr>
      <w:r>
        <w:rPr/>
        <w:t>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or</w:t>
      </w:r>
    </w:p>
    <w:p>
      <w:pPr>
        <w:pStyle w:val="BodyTextIndent2"/>
        <w:numPr>
          <w:ilvl w:val="0"/>
          <w:numId w:val="0"/>
        </w:numPr>
        <w:ind w:hanging="0" w:start="1440" w:end="0"/>
        <w:jc w:val="both"/>
        <w:rPr/>
      </w:pPr>
      <w:r>
        <w:rPr/>
      </w:r>
    </w:p>
    <w:p>
      <w:pPr>
        <w:pStyle w:val="BodyTextIndent2"/>
        <w:numPr>
          <w:ilvl w:val="0"/>
          <w:numId w:val="3"/>
        </w:numPr>
        <w:tabs>
          <w:tab w:val="clear" w:pos="720"/>
          <w:tab w:val="left" w:pos="1890" w:leader="none"/>
        </w:tabs>
        <w:jc w:val="both"/>
        <w:rPr/>
      </w:pPr>
      <w:r>
        <w:rPr/>
        <w:t>By either Party upon the termination of the Compression Services</w:t>
      </w:r>
    </w:p>
    <w:p>
      <w:pPr>
        <w:pStyle w:val="BodyTextIndent2"/>
        <w:jc w:val="both"/>
        <w:rPr/>
      </w:pPr>
      <w:r>
        <w:rPr/>
        <w:t>Agreement.</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7.1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4"/>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3"/>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7.2</w:t>
        <w:tab/>
      </w:r>
      <w:r>
        <w:rPr>
          <w:u w:val="single"/>
        </w:rPr>
        <w:t>Survival.</w:t>
      </w:r>
      <w:r>
        <w:rPr/>
        <w:t xml:space="preserve">  Notwithstanding any other section of this Agreement to the 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8.</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8.1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9.</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numPr>
          <w:ilvl w:val="1"/>
          <w:numId w:val="5"/>
        </w:numPr>
        <w:tabs>
          <w:tab w:val="clear" w:pos="720"/>
          <w:tab w:val="left" w:pos="900" w:leader="none"/>
          <w:tab w:val="left" w:pos="1440" w:leader="none"/>
        </w:tabs>
        <w:ind w:firstLine="720" w:start="0" w:end="0"/>
        <w:jc w:val="both"/>
        <w:rPr/>
      </w:pPr>
      <w:r>
        <w:rPr>
          <w:u w:val="single"/>
        </w:rPr>
        <w:t>Suspension of Obligations</w:t>
      </w:r>
      <w:r>
        <w:rPr/>
        <w:t>.  In the event of either Operator or ECS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numPr>
          <w:ilvl w:val="1"/>
          <w:numId w:val="5"/>
        </w:numPr>
        <w:tabs>
          <w:tab w:val="left" w:pos="720" w:leader="none"/>
          <w:tab w:val="left" w:pos="900" w:leader="none"/>
        </w:tabs>
        <w:ind w:firstLine="810" w:start="-90" w:end="0"/>
        <w:jc w:val="both"/>
        <w:rPr/>
      </w:pPr>
      <w:r>
        <w:rPr>
          <w:u w:val="single"/>
        </w:rPr>
        <w:t>Force Majeure</w:t>
      </w:r>
      <w:r>
        <w:rPr/>
        <w:t>.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numPr>
          <w:ilvl w:val="1"/>
          <w:numId w:val="5"/>
        </w:numPr>
        <w:tabs>
          <w:tab w:val="left" w:pos="720" w:leader="none"/>
          <w:tab w:val="left" w:pos="900" w:leader="none"/>
        </w:tabs>
        <w:ind w:firstLine="810" w:start="-90" w:end="0"/>
        <w:jc w:val="both"/>
        <w:rPr/>
      </w:pP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Normal"/>
        <w:keepNext w:val="true"/>
        <w:jc w:val="center"/>
        <w:rPr>
          <w:b/>
        </w:rPr>
      </w:pPr>
      <w:r>
        <w:rPr>
          <w:b/>
        </w:rPr>
        <w:t>ARTICLE 10</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10.1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10.2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12.3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10.3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BodyTextIndent2"/>
        <w:ind w:hanging="0" w:end="0"/>
        <w:jc w:val="center"/>
        <w:rPr>
          <w:b/>
        </w:rPr>
      </w:pPr>
      <w:r>
        <w:rPr>
          <w:b/>
        </w:rPr>
      </w:r>
    </w:p>
    <w:p>
      <w:pPr>
        <w:pStyle w:val="BodyTextIndent2"/>
        <w:ind w:hanging="0" w:end="0"/>
        <w:jc w:val="center"/>
        <w:rPr>
          <w:b/>
        </w:rPr>
      </w:pPr>
      <w:r>
        <w:rPr>
          <w:b/>
        </w:rPr>
        <w:t>ARTICLE 11.</w:t>
      </w:r>
    </w:p>
    <w:p>
      <w:pPr>
        <w:pStyle w:val="BodyTextIndent2"/>
        <w:tabs>
          <w:tab w:val="clear" w:pos="720"/>
          <w:tab w:val="left" w:pos="990" w:leader="none"/>
        </w:tabs>
        <w:ind w:hanging="0" w:end="0"/>
        <w:jc w:val="center"/>
        <w:rPr>
          <w:b/>
          <w:u w:val="single"/>
        </w:rPr>
      </w:pPr>
      <w:r>
        <w:rPr>
          <w:b/>
          <w:u w:val="single"/>
        </w:rPr>
        <w:t>RISK OF LOSS AND INSURANCE</w:t>
      </w:r>
    </w:p>
    <w:p>
      <w:pPr>
        <w:pStyle w:val="Normal"/>
        <w:jc w:val="both"/>
        <w:rPr>
          <w:b/>
          <w:u w:val="single"/>
        </w:rPr>
      </w:pPr>
      <w:r>
        <w:rPr>
          <w:b/>
          <w:u w:val="single"/>
        </w:rPr>
      </w:r>
    </w:p>
    <w:p>
      <w:pPr>
        <w:pStyle w:val="BodyText"/>
        <w:ind w:firstLine="720" w:end="0"/>
        <w:rPr/>
      </w:pPr>
      <w:r>
        <w:rPr/>
        <w:t>11.1</w:t>
        <w:tab/>
      </w:r>
      <w:r>
        <w:rPr>
          <w:u w:val="single"/>
        </w:rPr>
        <w:t>Risk of Loss</w:t>
      </w:r>
      <w:r>
        <w:rPr/>
        <w:t xml:space="preserve">. Operator hereby assumes and shall bear the entire risk of loss and damage to the Compressor Motor Facilities from any and every cause whatsoever. </w:t>
      </w:r>
    </w:p>
    <w:p>
      <w:pPr>
        <w:pStyle w:val="BodyText"/>
        <w:ind w:firstLine="720" w:end="0"/>
        <w:rPr/>
      </w:pPr>
      <w:r>
        <w:rPr/>
      </w:r>
    </w:p>
    <w:p>
      <w:pPr>
        <w:pStyle w:val="BodyText"/>
        <w:ind w:firstLine="720" w:end="0"/>
        <w:rPr/>
      </w:pPr>
      <w:r>
        <w:rPr/>
        <w:t>11.2</w:t>
        <w:tab/>
      </w:r>
      <w:r>
        <w:rPr>
          <w:u w:val="single"/>
        </w:rPr>
        <w:t>Insurance</w:t>
      </w:r>
      <w:r>
        <w:rPr/>
        <w:t>.  Operator shall maintain replacement cost insurance for the Compressor Motor Facilities to insure against property damage losses, including losses caused by third parties.  Operator shall procure and maintain under the Enron Corp. insurance program during the term of this Agreement, those insurance coverages as set forth on Exhibit "C".</w:t>
      </w:r>
      <w:r>
        <w:rPr>
          <w:b/>
        </w:rPr>
        <w:t xml:space="preserve">  </w:t>
      </w:r>
      <w:r>
        <w:rPr/>
        <w:t>All insurance policies covering the Compressor Motor Facilities and/or the services provided hereunder and the Compressor Stations shall name both Parties hereto as insureds with waivers of subrogation.  To further protect ECS and the Compressor Motor Facilities, Operator shall require all contractors and subcontractors providing services in regard to the Compressor Motor Facilities to obtain appropriate insurance coverage with proper endorsements for the work or service being performed.</w:t>
      </w:r>
    </w:p>
    <w:p>
      <w:pPr>
        <w:pStyle w:val="BodyTextIndent2"/>
        <w:ind w:hanging="0" w:start="1440" w:end="0"/>
        <w:jc w:val="both"/>
        <w:rPr>
          <w:b/>
        </w:rPr>
      </w:pPr>
      <w:r>
        <w:rPr>
          <w:b/>
        </w:rPr>
      </w:r>
    </w:p>
    <w:p>
      <w:pPr>
        <w:pStyle w:val="BodyTextIndent2"/>
        <w:ind w:hanging="0" w:end="0"/>
        <w:jc w:val="center"/>
        <w:rPr>
          <w:b/>
        </w:rPr>
      </w:pPr>
      <w:r>
        <w:rPr>
          <w:b/>
        </w:rPr>
        <w:t>ARTICLE 12.</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12.1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Tennessee Gas Pipeline Company</w:t>
      </w:r>
    </w:p>
    <w:p>
      <w:pPr>
        <w:pStyle w:val="Normal"/>
        <w:keepNext w:val="true"/>
        <w:keepLines/>
        <w:ind w:start="1980" w:end="0"/>
        <w:jc w:val="both"/>
        <w:rPr/>
      </w:pPr>
      <w:r>
        <w:rPr/>
        <w:t>_______________________</w:t>
      </w:r>
    </w:p>
    <w:p>
      <w:pPr>
        <w:pStyle w:val="Normal"/>
        <w:keepNext w:val="true"/>
        <w:keepLines/>
        <w:ind w:start="1980" w:end="0"/>
        <w:jc w:val="both"/>
        <w:rPr/>
      </w:pPr>
      <w:r>
        <w:rPr/>
        <w:t>Houston, Texas  ____________</w:t>
      </w:r>
    </w:p>
    <w:p>
      <w:pPr>
        <w:pStyle w:val="Heading1"/>
        <w:keepLines/>
        <w:ind w:firstLine="720" w:start="1260" w:end="0"/>
        <w:jc w:val="start"/>
        <w:rPr>
          <w:u w:val="none"/>
        </w:rPr>
      </w:pPr>
      <w:r>
        <w:rPr>
          <w:u w:val="none"/>
        </w:rPr>
        <w:t>Attention:  ________________</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12.2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12.3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12.4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12.5</w:t>
        <w:tab/>
      </w:r>
      <w:r>
        <w:rPr>
          <w:u w:val="single"/>
        </w:rPr>
        <w:t>ECS ownership of Records and Materials</w:t>
      </w:r>
      <w:r>
        <w:rPr/>
        <w:t>.</w:t>
      </w:r>
    </w:p>
    <w:p>
      <w:pPr>
        <w:pStyle w:val="Normal"/>
        <w:jc w:val="both"/>
        <w:rPr/>
      </w:pPr>
      <w:r>
        <w:rPr/>
      </w:r>
    </w:p>
    <w:p>
      <w:pPr>
        <w:pStyle w:val="Normal"/>
        <w:numPr>
          <w:ilvl w:val="0"/>
          <w:numId w:val="2"/>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and for which ECS has directly or indirectly reimbursed Operator, shall be the property of ECS and shall be held in temporary custody by Operator.  Upon the request of ECS,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numPr>
          <w:ilvl w:val="0"/>
          <w:numId w:val="0"/>
        </w:numPr>
        <w:ind w:hanging="0" w:start="0"/>
        <w:jc w:val="both"/>
        <w:rPr/>
      </w:pPr>
      <w:r>
        <w:rPr/>
      </w:r>
    </w:p>
    <w:p>
      <w:pPr>
        <w:pStyle w:val="Normal"/>
        <w:numPr>
          <w:ilvl w:val="0"/>
          <w:numId w:val="2"/>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12.6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12.7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12.8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12.9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12.10  </w:t>
      </w:r>
      <w:r>
        <w:rPr>
          <w:u w:val="single"/>
        </w:rPr>
        <w:t>Effective Date</w:t>
      </w:r>
      <w:r>
        <w:rPr/>
        <w:t xml:space="preserve">.  This Agreement is effective upon execution by both Parties.  The obligation to provide and pay for services hereunder shall not, however, commence until the Start Date.  If services are not being provided hereunder _______________,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b/>
        </w:rPr>
      </w:pPr>
      <w:r>
        <w:rPr>
          <w:b/>
        </w:rPr>
        <w:t>TENNESSEE GAS PIPELINE</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r>
        <w:br w:type="page"/>
      </w:r>
    </w:p>
    <w:p>
      <w:pPr>
        <w:pStyle w:val="Normal"/>
        <w:jc w:val="center"/>
        <w:rPr>
          <w:b/>
        </w:rPr>
      </w:pPr>
      <w:r>
        <w:rPr>
          <w:b/>
        </w:rPr>
        <w:t>EXHIBIT "B"</w:t>
      </w:r>
    </w:p>
    <w:p>
      <w:pPr>
        <w:pStyle w:val="Normal"/>
        <w:jc w:val="center"/>
        <w:rPr>
          <w:b/>
        </w:rPr>
      </w:pPr>
      <w:r>
        <w:rPr>
          <w:b/>
        </w:rPr>
      </w:r>
    </w:p>
    <w:p>
      <w:pPr>
        <w:pStyle w:val="Heading5"/>
        <w:ind w:hanging="0" w:start="0"/>
        <w:rPr>
          <w:b/>
        </w:rPr>
      </w:pPr>
      <w:r>
        <w:rPr>
          <w:b/>
        </w:rPr>
        <w:t>SCHEDULE OF ANNUAL OPERATING AND MAINTENANCE FEES</w:t>
      </w:r>
    </w:p>
    <w:p>
      <w:pPr>
        <w:pStyle w:val="Normal"/>
        <w:jc w:val="both"/>
        <w:rPr>
          <w:b/>
        </w:rPr>
      </w:pPr>
      <w:r>
        <w:rPr>
          <w:b/>
        </w:rPr>
      </w:r>
    </w:p>
    <w:tbl>
      <w:tblPr>
        <w:tblW w:w="8109" w:type="dxa"/>
        <w:jc w:val="center"/>
        <w:tblInd w:w="0" w:type="dxa"/>
        <w:tblLayout w:type="fixed"/>
        <w:tblCellMar>
          <w:top w:w="0" w:type="dxa"/>
          <w:start w:w="108" w:type="dxa"/>
          <w:bottom w:w="0" w:type="dxa"/>
          <w:end w:w="108" w:type="dxa"/>
        </w:tblCellMar>
      </w:tblPr>
      <w:tblGrid>
        <w:gridCol w:w="2705"/>
        <w:gridCol w:w="5404"/>
      </w:tblGrid>
      <w:tr>
        <w:trPr/>
        <w:tc>
          <w:tcPr>
            <w:tcW w:w="2705" w:type="dxa"/>
            <w:tcBorders/>
          </w:tcPr>
          <w:p>
            <w:pPr>
              <w:pStyle w:val="Heading3"/>
              <w:ind w:hanging="0" w:start="0"/>
              <w:jc w:val="center"/>
              <w:rPr/>
            </w:pPr>
            <w:r>
              <w:rPr/>
              <w:t>Contract Year</w:t>
            </w:r>
          </w:p>
        </w:tc>
        <w:tc>
          <w:tcPr>
            <w:tcW w:w="5404" w:type="dxa"/>
            <w:tcBorders/>
          </w:tcPr>
          <w:p>
            <w:pPr>
              <w:pStyle w:val="Heading5"/>
              <w:ind w:hanging="0" w:start="0"/>
              <w:rPr/>
            </w:pPr>
            <w:r>
              <w:rPr/>
              <w:t>Annual Operating and Maintenance Fee</w:t>
            </w:r>
          </w:p>
          <w:p>
            <w:pPr>
              <w:pStyle w:val="Normal"/>
              <w:rPr/>
            </w:pPr>
            <w:r>
              <w:rPr/>
            </w:r>
          </w:p>
        </w:tc>
      </w:tr>
      <w:tr>
        <w:trPr/>
        <w:tc>
          <w:tcPr>
            <w:tcW w:w="2705" w:type="dxa"/>
            <w:tcBorders/>
          </w:tcPr>
          <w:p>
            <w:pPr>
              <w:pStyle w:val="Normal"/>
              <w:jc w:val="center"/>
              <w:rPr/>
            </w:pPr>
            <w:r>
              <w:rPr/>
              <w:t>1</w:t>
            </w:r>
          </w:p>
        </w:tc>
        <w:tc>
          <w:tcPr>
            <w:tcW w:w="5404" w:type="dxa"/>
            <w:tcBorders/>
          </w:tcPr>
          <w:p>
            <w:pPr>
              <w:pStyle w:val="Normal"/>
              <w:snapToGrid w:val="false"/>
              <w:jc w:val="center"/>
              <w:rPr/>
            </w:pPr>
            <w:r>
              <w:rPr/>
            </w:r>
          </w:p>
        </w:tc>
      </w:tr>
      <w:tr>
        <w:trPr/>
        <w:tc>
          <w:tcPr>
            <w:tcW w:w="2705" w:type="dxa"/>
            <w:tcBorders/>
          </w:tcPr>
          <w:p>
            <w:pPr>
              <w:pStyle w:val="Normal"/>
              <w:jc w:val="center"/>
              <w:rPr/>
            </w:pPr>
            <w:r>
              <w:rPr/>
              <w:t>2</w:t>
            </w:r>
          </w:p>
        </w:tc>
        <w:tc>
          <w:tcPr>
            <w:tcW w:w="5404" w:type="dxa"/>
            <w:tcBorders/>
          </w:tcPr>
          <w:p>
            <w:pPr>
              <w:pStyle w:val="Normal"/>
              <w:snapToGrid w:val="false"/>
              <w:jc w:val="center"/>
              <w:rPr/>
            </w:pPr>
            <w:r>
              <w:rPr/>
            </w:r>
          </w:p>
        </w:tc>
      </w:tr>
      <w:tr>
        <w:trPr/>
        <w:tc>
          <w:tcPr>
            <w:tcW w:w="2705" w:type="dxa"/>
            <w:tcBorders/>
          </w:tcPr>
          <w:p>
            <w:pPr>
              <w:pStyle w:val="Normal"/>
              <w:jc w:val="center"/>
              <w:rPr/>
            </w:pPr>
            <w:r>
              <w:rPr/>
              <w:t>3</w:t>
            </w:r>
          </w:p>
        </w:tc>
        <w:tc>
          <w:tcPr>
            <w:tcW w:w="5404" w:type="dxa"/>
            <w:tcBorders/>
          </w:tcPr>
          <w:p>
            <w:pPr>
              <w:pStyle w:val="Normal"/>
              <w:snapToGrid w:val="false"/>
              <w:jc w:val="center"/>
              <w:rPr/>
            </w:pPr>
            <w:r>
              <w:rPr/>
            </w:r>
          </w:p>
        </w:tc>
      </w:tr>
      <w:tr>
        <w:trPr/>
        <w:tc>
          <w:tcPr>
            <w:tcW w:w="2705" w:type="dxa"/>
            <w:tcBorders/>
          </w:tcPr>
          <w:p>
            <w:pPr>
              <w:pStyle w:val="Normal"/>
              <w:jc w:val="center"/>
              <w:rPr/>
            </w:pPr>
            <w:r>
              <w:rPr/>
              <w:t>4</w:t>
            </w:r>
          </w:p>
        </w:tc>
        <w:tc>
          <w:tcPr>
            <w:tcW w:w="5404" w:type="dxa"/>
            <w:tcBorders/>
          </w:tcPr>
          <w:p>
            <w:pPr>
              <w:pStyle w:val="Normal"/>
              <w:snapToGrid w:val="false"/>
              <w:jc w:val="center"/>
              <w:rPr/>
            </w:pPr>
            <w:r>
              <w:rPr/>
            </w:r>
          </w:p>
        </w:tc>
      </w:tr>
      <w:tr>
        <w:trPr/>
        <w:tc>
          <w:tcPr>
            <w:tcW w:w="2705" w:type="dxa"/>
            <w:tcBorders/>
          </w:tcPr>
          <w:p>
            <w:pPr>
              <w:pStyle w:val="Normal"/>
              <w:jc w:val="center"/>
              <w:rPr/>
            </w:pPr>
            <w:r>
              <w:rPr/>
              <w:t>5</w:t>
            </w:r>
          </w:p>
        </w:tc>
        <w:tc>
          <w:tcPr>
            <w:tcW w:w="5404" w:type="dxa"/>
            <w:tcBorders/>
          </w:tcPr>
          <w:p>
            <w:pPr>
              <w:pStyle w:val="Normal"/>
              <w:snapToGrid w:val="false"/>
              <w:jc w:val="center"/>
              <w:rPr/>
            </w:pPr>
            <w:r>
              <w:rPr/>
            </w:r>
          </w:p>
        </w:tc>
      </w:tr>
      <w:tr>
        <w:trPr/>
        <w:tc>
          <w:tcPr>
            <w:tcW w:w="2705" w:type="dxa"/>
            <w:tcBorders/>
          </w:tcPr>
          <w:p>
            <w:pPr>
              <w:pStyle w:val="Normal"/>
              <w:jc w:val="center"/>
              <w:rPr/>
            </w:pPr>
            <w:r>
              <w:rPr/>
              <w:t>6</w:t>
            </w:r>
          </w:p>
        </w:tc>
        <w:tc>
          <w:tcPr>
            <w:tcW w:w="5404" w:type="dxa"/>
            <w:tcBorders/>
          </w:tcPr>
          <w:p>
            <w:pPr>
              <w:pStyle w:val="Normal"/>
              <w:snapToGrid w:val="false"/>
              <w:jc w:val="center"/>
              <w:rPr/>
            </w:pPr>
            <w:r>
              <w:rPr/>
            </w:r>
          </w:p>
        </w:tc>
      </w:tr>
      <w:tr>
        <w:trPr/>
        <w:tc>
          <w:tcPr>
            <w:tcW w:w="2705" w:type="dxa"/>
            <w:tcBorders/>
          </w:tcPr>
          <w:p>
            <w:pPr>
              <w:pStyle w:val="Normal"/>
              <w:jc w:val="center"/>
              <w:rPr/>
            </w:pPr>
            <w:r>
              <w:rPr/>
              <w:t>7</w:t>
            </w:r>
          </w:p>
        </w:tc>
        <w:tc>
          <w:tcPr>
            <w:tcW w:w="5404" w:type="dxa"/>
            <w:tcBorders/>
          </w:tcPr>
          <w:p>
            <w:pPr>
              <w:pStyle w:val="Normal"/>
              <w:snapToGrid w:val="false"/>
              <w:jc w:val="center"/>
              <w:rPr/>
            </w:pPr>
            <w:r>
              <w:rPr/>
            </w:r>
          </w:p>
        </w:tc>
      </w:tr>
      <w:tr>
        <w:trPr/>
        <w:tc>
          <w:tcPr>
            <w:tcW w:w="2705" w:type="dxa"/>
            <w:tcBorders/>
          </w:tcPr>
          <w:p>
            <w:pPr>
              <w:pStyle w:val="Normal"/>
              <w:jc w:val="center"/>
              <w:rPr/>
            </w:pPr>
            <w:r>
              <w:rPr/>
              <w:t>8</w:t>
            </w:r>
          </w:p>
        </w:tc>
        <w:tc>
          <w:tcPr>
            <w:tcW w:w="5404" w:type="dxa"/>
            <w:tcBorders/>
          </w:tcPr>
          <w:p>
            <w:pPr>
              <w:pStyle w:val="Normal"/>
              <w:snapToGrid w:val="false"/>
              <w:jc w:val="center"/>
              <w:rPr/>
            </w:pPr>
            <w:r>
              <w:rPr/>
            </w:r>
          </w:p>
        </w:tc>
      </w:tr>
      <w:tr>
        <w:trPr/>
        <w:tc>
          <w:tcPr>
            <w:tcW w:w="2705" w:type="dxa"/>
            <w:tcBorders/>
          </w:tcPr>
          <w:p>
            <w:pPr>
              <w:pStyle w:val="Normal"/>
              <w:jc w:val="center"/>
              <w:rPr/>
            </w:pPr>
            <w:r>
              <w:rPr/>
              <w:t>9</w:t>
            </w:r>
          </w:p>
        </w:tc>
        <w:tc>
          <w:tcPr>
            <w:tcW w:w="5404" w:type="dxa"/>
            <w:tcBorders/>
          </w:tcPr>
          <w:p>
            <w:pPr>
              <w:pStyle w:val="Normal"/>
              <w:snapToGrid w:val="false"/>
              <w:jc w:val="center"/>
              <w:rPr/>
            </w:pPr>
            <w:r>
              <w:rPr/>
            </w:r>
          </w:p>
        </w:tc>
      </w:tr>
      <w:tr>
        <w:trPr/>
        <w:tc>
          <w:tcPr>
            <w:tcW w:w="2705" w:type="dxa"/>
            <w:tcBorders/>
          </w:tcPr>
          <w:p>
            <w:pPr>
              <w:pStyle w:val="Normal"/>
              <w:jc w:val="center"/>
              <w:rPr/>
            </w:pPr>
            <w:r>
              <w:rPr/>
              <w:t>10</w:t>
            </w:r>
          </w:p>
        </w:tc>
        <w:tc>
          <w:tcPr>
            <w:tcW w:w="5404" w:type="dxa"/>
            <w:tcBorders/>
          </w:tcPr>
          <w:p>
            <w:pPr>
              <w:pStyle w:val="Normal"/>
              <w:snapToGrid w:val="false"/>
              <w:jc w:val="center"/>
              <w:rPr/>
            </w:pPr>
            <w:r>
              <w:rPr/>
            </w:r>
          </w:p>
        </w:tc>
      </w:tr>
    </w:tbl>
    <w:p>
      <w:pPr>
        <w:pStyle w:val="Normal"/>
        <w:jc w:val="both"/>
        <w:rPr/>
      </w:pPr>
      <w:r>
        <w:rPr/>
      </w:r>
    </w:p>
    <w:p>
      <w:pPr>
        <w:pStyle w:val="Normal"/>
        <w:jc w:val="both"/>
        <w:rPr/>
      </w:pPr>
      <w:r>
        <w:rPr/>
      </w:r>
      <w:r>
        <w:br w:type="page"/>
      </w:r>
    </w:p>
    <w:p>
      <w:pPr>
        <w:pStyle w:val="Normal"/>
        <w:jc w:val="center"/>
        <w:rPr>
          <w:b/>
        </w:rPr>
      </w:pPr>
      <w:r>
        <w:rPr>
          <w:b/>
        </w:rPr>
        <w:t>EXHIBIT "C"</w:t>
      </w:r>
    </w:p>
    <w:p>
      <w:pPr>
        <w:pStyle w:val="Normal"/>
        <w:jc w:val="center"/>
        <w:rPr>
          <w:b/>
        </w:rPr>
      </w:pPr>
      <w:r>
        <w:rPr>
          <w:b/>
        </w:rPr>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spacing w:val="-3"/>
          <w:u w:val="single"/>
        </w:rPr>
      </w:pPr>
      <w:r>
        <w:rPr>
          <w:spacing w:val="-3"/>
          <w:u w:val="single"/>
        </w:rPr>
        <w:t>[To Come]</w:t>
      </w:r>
    </w:p>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5/1/01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5/1/01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2160" w:hanging="720"/>
      </w:pPr>
    </w:lvl>
  </w:abstractNum>
  <w:abstractNum w:abstractNumId="3">
    <w:lvl w:ilvl="0">
      <w:start w:val="3"/>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9"/>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2001-05-01T12:37:00Z</dcterms:created>
  <dc:creator>ebraden</dc:creator>
  <dc:description/>
  <dc:language>en-CA</dc:language>
  <cp:lastModifiedBy>gnemec</cp:lastModifiedBy>
  <cp:lastPrinted>2001-05-01T09:18:00Z</cp:lastPrinted>
  <dcterms:modified xsi:type="dcterms:W3CDTF">2001-05-01T12:37:00Z</dcterms:modified>
  <cp:revision>2</cp:revision>
  <dc:subject/>
  <dc:title>OPERATIONS AND MAINTENANCE AGREEMENT</dc:title>
</cp:coreProperties>
</file>