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jc w:val="both"/>
        <w:rPr/>
      </w:pPr>
      <w:r>
        <w:rPr>
          <w:sz w:val="22"/>
        </w:rPr>
        <w:tab/>
        <w:t>THIS BROKER ELECTRONIC TRANSACTION AGREEMENT (this “Agreement”) is made and entered into on this the 8</w:t>
      </w:r>
      <w:r>
        <w:rPr>
          <w:sz w:val="22"/>
          <w:vertAlign w:val="superscript"/>
        </w:rPr>
        <w:t>th</w:t>
      </w:r>
      <w:r>
        <w:rPr>
          <w:sz w:val="22"/>
        </w:rPr>
        <w:t xml:space="preserve"> day of November, 2001, by and between ENRONONLINE, LLC, having its principal place of business at 1400 Smith Street, Houston, Texas 77002 (“Enron”) and TRADITION FINANCIAL SERVICES LIMITED, having its principal place of business at 109-117 Middlesex Street, London, E1 7JF, England (“Broker”).</w:t>
      </w:r>
    </w:p>
    <w:p>
      <w:pPr>
        <w:pStyle w:val="Normal"/>
        <w:jc w:val="both"/>
        <w:rPr>
          <w:sz w:val="22"/>
        </w:rPr>
      </w:pPr>
      <w:r>
        <w:rPr>
          <w:sz w:val="22"/>
        </w:rPr>
      </w:r>
    </w:p>
    <w:p>
      <w:pPr>
        <w:pStyle w:val="Normal"/>
        <w:jc w:val="center"/>
        <w:rPr/>
      </w:pPr>
      <w:r>
        <w:rPr>
          <w:sz w:val="22"/>
          <w:u w:val="single"/>
        </w:rPr>
        <w:t>RECITALS</w:t>
      </w:r>
      <w:r>
        <w:rPr>
          <w:sz w:val="22"/>
        </w:rPr>
        <w:t>:</w:t>
      </w:r>
    </w:p>
    <w:p>
      <w:pPr>
        <w:pStyle w:val="Normal"/>
        <w:widowControl/>
        <w:jc w:val="both"/>
        <w:rPr>
          <w:sz w:val="22"/>
        </w:rPr>
      </w:pPr>
      <w:r>
        <w:rPr>
          <w:sz w:val="22"/>
        </w:rPr>
      </w:r>
    </w:p>
    <w:p>
      <w:pPr>
        <w:pStyle w:val="Normal"/>
        <w:widowControl/>
        <w:ind w:firstLine="1440" w:end="0"/>
        <w:jc w:val="both"/>
        <w:rPr>
          <w:sz w:val="22"/>
        </w:rPr>
      </w:pPr>
      <w:r>
        <w:rPr>
          <w:sz w:val="22"/>
        </w:rPr>
        <w:t xml:space="preserve">WHEREAS, Enron (or one of its affiliates) from time to time has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Broker desires to obtain access to the Website and Enron desires to provide Broker with access to the Website, one or more user identification name(s) or number(s) (“user ID”) and one or more unique password(s) assigned to Broker by Enron (the “Password”) and Broker intends to access and utilize the Website solely in accordance with the terms and conditions of this Agreement.</w:t>
      </w:r>
    </w:p>
    <w:p>
      <w:pPr>
        <w:pStyle w:val="Normal"/>
        <w:widowControl/>
        <w:ind w:firstLine="1440" w:end="0"/>
        <w:jc w:val="both"/>
        <w:rPr>
          <w:sz w:val="22"/>
        </w:rPr>
      </w:pPr>
      <w:r>
        <w:rPr>
          <w:sz w:val="22"/>
        </w:rPr>
      </w:r>
    </w:p>
    <w:p>
      <w:pPr>
        <w:pStyle w:val="Normal"/>
        <w:widowControl/>
        <w:jc w:val="center"/>
        <w:rPr>
          <w:sz w:val="22"/>
          <w:u w:val="single"/>
        </w:rPr>
      </w:pPr>
      <w:r>
        <w:rPr>
          <w:sz w:val="22"/>
          <w:u w:val="single"/>
        </w:rPr>
        <w:t>AGREEMENTS:</w:t>
      </w:r>
    </w:p>
    <w:p>
      <w:pPr>
        <w:pStyle w:val="Normal"/>
        <w:widowControl/>
        <w:jc w:val="both"/>
        <w:rPr>
          <w:sz w:val="22"/>
          <w:u w:val="single"/>
        </w:rPr>
      </w:pPr>
      <w:r>
        <w:rPr>
          <w:sz w:val="22"/>
          <w:u w:val="single"/>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reasonable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As to Broker, Enron may impose such other conditions upon access and trading activities as are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or if Broker is unable to access the area of the Website reserved for the submittal of Offers (as defined below) for a cumulative period over the term of this Agreement equal to seven (7) business days, other than as a result of Broker’s own actions or fault, then this Agreement will be deemed to be terminated and Enron will refund a pro rata portion of the Access Fee provided for in the Fee Agreement, to the extent that any portion of the Access Fee already paid to Enron is for a period extending beyond the termination date of this Agreement.  For purposes of the preceding sentence, a “business day” shall mean a consecutive twenty-four (24) hour period, beginning at 12:00 am (CST) and ending at 11:59 pm (CST) on the same day.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Operative Agreements in respect of the products which are the subject matter of the relevant Execution from time to time.  An Execution, when accepted or confirmed by Enron, shall bind a Participant, as a Counterparty to a Transaction, in accordance with such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the appropriate Enron trading affiliate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 xml:space="preserve">In the event that Broker fails to obtain the Broker Verification (as defined in paragraph (h) below) for an Execution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obtained the Broker Verification and delivered the Broker Verification to Enron as required in paragraph (h) below, or (iv) the date Enron otherwise determines that the Execution will not be honored by Counterparty as a Transaction.  Such liability for Liquidated Damages shall in no way limit Broker’s liability for damages resulting from or arising out of Broker’s fraud or misrepresentation.  </w:t>
      </w:r>
    </w:p>
    <w:p>
      <w:pPr>
        <w:pStyle w:val="Normal"/>
        <w:widowControl/>
        <w:ind w:firstLine="1440" w:end="0"/>
        <w:jc w:val="both"/>
        <w:rPr>
          <w:sz w:val="22"/>
        </w:rPr>
      </w:pPr>
      <w:r>
        <w:rPr>
          <w:sz w:val="22"/>
        </w:rPr>
      </w:r>
    </w:p>
    <w:p>
      <w:pPr>
        <w:pStyle w:val="BodyText"/>
        <w:ind w:firstLine="1440" w:end="0"/>
        <w:rPr/>
      </w:pPr>
      <w:r>
        <w:rPr>
          <w:b w:val="false"/>
          <w:sz w:val="22"/>
        </w:rPr>
        <w:t>(f)</w:t>
        <w:tab/>
        <w:t>Enron in its sole discretion will establish an Execution availability for Broker based upon Broker’s financial condition and any other criteria that Enron deems prudent.  Enron will use reasonable business judgment in determining the level of Execution availability.  Prior to Enron accepting or confirming an Execution by Broker, Enron will verify that Broker has adequate Execution availability to secure the Execution should it not be confirmed</w:t>
      </w:r>
      <w:r>
        <w:rPr>
          <w:b w:val="false"/>
          <w:color w:val="FF0000"/>
          <w:sz w:val="22"/>
        </w:rPr>
        <w:t xml:space="preserve"> </w:t>
      </w:r>
      <w:r>
        <w:rPr>
          <w:b w:val="false"/>
          <w:sz w:val="22"/>
        </w:rPr>
        <w:t>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t xml:space="preserve"> </w:t>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including verification of its authority pursuant to paragraph 2(a) (the “Broker Verification”) (ii) notify Enron of the Broker Verification by telephone and (iii) deliver to Enron a written summary of all Executions which occurred on such day and confirming the Broker Verification.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 transmission).  </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At such time as Broker has satisfied its obligations under paragraph (g) above, including, but not limited to, the delivery of the Broker Verification to Enron, Broker shall no longer have any responsibility or liability to Enron under paragraph (e) above in relation to the specific Executions identified in the Broker Verification, subject only to Broker’s fraud and/or misrepresentations.  In the event a Participant fails to confirm or otherwise accept liability for a Transaction in spite of the Broker Verification provided by Broker and Broker’s actions in obtaining such Broker Verification, Broker agrees that it will use all reasonable efforts to assist Enron in supporting the Broker Verification; provided, however, Broker shall not be required, on its own behalf, to institute legal proceedings against the Participant.</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ab/>
        <w:t>(k)</w:t>
        <w:tab/>
        <w:t>The parties agree that Broker shall have no obligation to make Executions through the Website.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THIS SECTION SHALL NOT LIMIT THE LIABILITY OF ENRON, AND ITS DIRECTORS, OFFICERS, EMPLOYEES AND AGENTS, WHERE SUCH LIABILITY IS CAUSED BY THEIR (I) FRAUD, (II) WILFULL ACTS OR OMISSIONS, OR (III) A CLAIM MADE AGAINST BROKER THAT BROKER’S ACCESS TO AND USE OF THE WEBSITE VIOLATES OR OTHERWISE INFRINGES ON ANY PATENT, TRADE MARK OR OTHER INTELLECTUAL PROPERTY RIGHTS OF A THIRD PARTY (COLLECTIVELY, “ENRON’S ACTIONS”).</w:t>
      </w:r>
    </w:p>
    <w:p>
      <w:pPr>
        <w:pStyle w:val="Normal"/>
        <w:widowControl/>
        <w:ind w:firstLine="1440" w:end="0"/>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“Costs”)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(other than by hacker who have not obtained the Passwords from or through Broker) obtaining access to the Website through the user ID or Password, whether or not Broker has authorized such access, and/or (iv) any actions taken or not taken by Broker as a result of or based on its access to or utilization of the Website, unless such Costs associated with access, entry or action taken or not taken by Broker arise from the failure of Enron to maintain commercially reasonable security controls for the Website, from the negligence or intentional misconduct of Enron and its directors, officers, employees, agents or contractors or from Enron’s Actions.</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pursuant to this Agreement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the full execution of this Agreement by both Enron and Broker.</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Enron shall have the ability to freely assign this Agreement to any affiliate, subsidiary or third party; provided, however, if Broker, acting in a commercially reasonable manner, should not approve of any third party to whom this Agreement has been assigned, Broker may terminate this Agreement and, in accordance with Section 2(e), receive a pro rate refund of the Access Fee.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ab/>
        <w:t>EXECUTED by Enron and Broker on the dates set forth below, but to be effective as of the date first written above.</w:t>
      </w:r>
    </w:p>
    <w:p>
      <w:pPr>
        <w:pStyle w:val="Normal"/>
        <w:widowControl/>
        <w:jc w:val="both"/>
        <w:rPr>
          <w:sz w:val="22"/>
        </w:rPr>
      </w:pPr>
      <w:r>
        <w:rPr>
          <w:sz w:val="22"/>
        </w:rPr>
      </w:r>
    </w:p>
    <w:p>
      <w:pPr>
        <w:pStyle w:val="Normal"/>
        <w:widowControl/>
        <w:jc w:val="both"/>
        <w:rPr>
          <w:sz w:val="22"/>
        </w:rPr>
      </w:pPr>
      <w:r>
        <w:rPr>
          <w:sz w:val="22"/>
        </w:rPr>
      </w:r>
    </w:p>
    <w:p>
      <w:pPr>
        <w:pStyle w:val="Normal"/>
        <w:widowControl/>
        <w:ind w:hanging="5760" w:start="5760" w:end="0"/>
        <w:jc w:val="both"/>
        <w:rPr>
          <w:sz w:val="22"/>
        </w:rPr>
      </w:pPr>
      <w:r>
        <w:rPr>
          <w:sz w:val="22"/>
        </w:rPr>
        <w:t>ENRONONLINE, LLC</w:t>
        <w:tab/>
        <w:tab/>
        <w:tab/>
        <w:tab/>
        <w:tab/>
        <w:tab/>
        <w:t>TRADITION FINANCIAL SERVICES LIMITED</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r>
    </w:p>
    <w:p>
      <w:pPr>
        <w:pStyle w:val="Normal"/>
        <w:widowControl/>
        <w:jc w:val="both"/>
        <w:rPr>
          <w:sz w:val="22"/>
        </w:rPr>
      </w:pPr>
      <w:r>
        <w:rPr>
          <w:sz w:val="22"/>
        </w:rPr>
        <w:t>Title:_____________________________</w:t>
        <w:tab/>
        <w:tab/>
        <w:tab/>
        <w:t>Title:_____________________________</w:t>
      </w:r>
    </w:p>
    <w:p>
      <w:pPr>
        <w:pStyle w:val="Normal"/>
        <w:widowControl/>
        <w:jc w:val="both"/>
        <w:rPr>
          <w:sz w:val="22"/>
        </w:rPr>
      </w:pPr>
      <w:r>
        <w:rPr>
          <w:sz w:val="22"/>
        </w:rPr>
      </w:r>
    </w:p>
    <w:p>
      <w:pPr>
        <w:pStyle w:val="Normal"/>
        <w:widowControl/>
        <w:jc w:val="both"/>
        <w:rPr>
          <w:sz w:val="22"/>
        </w:rPr>
      </w:pPr>
      <w:r>
        <w:rPr>
          <w:sz w:val="22"/>
        </w:rPr>
        <w:t>Date:_____________________________</w:t>
        <w:tab/>
        <w:tab/>
        <w:tab/>
        <w:t>Date:_____________________________</w:t>
      </w:r>
    </w:p>
    <w:p>
      <w:pPr>
        <w:pStyle w:val="Normal"/>
        <w:widowControl/>
        <w:jc w:val="both"/>
        <w:rPr>
          <w:sz w:val="22"/>
        </w:rPr>
      </w:pPr>
      <w:r>
        <w:rPr>
          <w:sz w:val="22"/>
        </w:rPr>
      </w:r>
    </w:p>
    <w:p>
      <w:pPr>
        <w:pStyle w:val="Normal"/>
        <w:widowControl/>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fldChar w:fldCharType="begin"/>
    </w:r>
    <w:r>
      <w:rPr>
        <w:sz w:val="16"/>
      </w:rPr>
      <w:instrText xml:space="preserve"> FILENAME \p </w:instrText>
    </w:r>
    <w:r>
      <w:rPr>
        <w:sz w:val="16"/>
      </w:rPr>
      <w:fldChar w:fldCharType="separate"/>
    </w:r>
    <w:r>
      <w:rPr>
        <w:sz w:val="16"/>
      </w:rPr>
      <w:t>/mnt/main-storage/datasets/enron-docs/doc/TFS_London_Branch_beta_11_08_01_.doc</w:t>
    </w:r>
    <w:r>
      <w:rPr>
        <w:sz w:val="16"/>
      </w:rPr>
      <w:fldChar w:fldCharType="end"/>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2001-11-08T13:03:00Z</dcterms:created>
  <dc:creator>mtaylo1</dc:creator>
  <dc:description/>
  <dc:language>en-CA</dc:language>
  <cp:lastModifiedBy>spanus</cp:lastModifiedBy>
  <cp:lastPrinted>2001-11-08T11:21:00Z</cp:lastPrinted>
  <dcterms:modified xsi:type="dcterms:W3CDTF">2001-11-08T14:55:00Z</dcterms:modified>
  <cp:revision>7</cp:revision>
  <dc:subject/>
  <dc:title/>
</cp:coreProperties>
</file>