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jc w:val="both"/>
        <w:rPr>
          <w:b/>
          <w:sz w:val="22"/>
        </w:rPr>
      </w:pPr>
      <w:r>
        <w:rPr>
          <w:b/>
          <w:sz w:val="22"/>
        </w:rPr>
      </w:r>
    </w:p>
    <w:p>
      <w:pPr>
        <w:pStyle w:val="Normal"/>
        <w:jc w:val="both"/>
        <w:rPr>
          <w:sz w:val="22"/>
        </w:rPr>
      </w:pPr>
      <w:r>
        <w:rPr>
          <w:sz w:val="22"/>
        </w:rPr>
        <w:tab/>
        <w:t>THIS BROKER ELECTRONIC TRANSACTION AGREEMENT (this “Agreement”) is made and entered into on this the ___ day of June, 2001, by and between ENRONONLINE, LLC, having its principal place of business at 1400 Smith Street, Houston, Texas 77002 (“Enron”) and TFS ENERGY, LLC, acting through its London Office, having its principal place of business at __________________________________________ (“Broker”).</w:t>
      </w:r>
    </w:p>
    <w:p>
      <w:pPr>
        <w:pStyle w:val="Normal"/>
        <w:jc w:val="both"/>
        <w:rPr>
          <w:sz w:val="22"/>
        </w:rPr>
      </w:pPr>
      <w:r>
        <w:rPr>
          <w:sz w:val="22"/>
        </w:rPr>
      </w:r>
    </w:p>
    <w:p>
      <w:pPr>
        <w:pStyle w:val="Normal"/>
        <w:jc w:val="center"/>
        <w:rPr/>
      </w:pPr>
      <w:r>
        <w:rPr>
          <w:sz w:val="22"/>
          <w:u w:val="single"/>
        </w:rPr>
        <w:t>RECITALS</w:t>
      </w:r>
      <w:r>
        <w:rPr>
          <w:sz w:val="22"/>
        </w:rPr>
        <w:t>:</w:t>
      </w:r>
    </w:p>
    <w:p>
      <w:pPr>
        <w:pStyle w:val="Normal"/>
        <w:widowControl/>
        <w:jc w:val="both"/>
        <w:rPr>
          <w:sz w:val="22"/>
        </w:rPr>
      </w:pPr>
      <w:r>
        <w:rPr>
          <w:sz w:val="22"/>
        </w:rPr>
      </w:r>
    </w:p>
    <w:p>
      <w:pPr>
        <w:pStyle w:val="Normal"/>
        <w:widowControl/>
        <w:ind w:firstLine="1440" w:end="0"/>
        <w:jc w:val="both"/>
        <w:rPr>
          <w:sz w:val="22"/>
        </w:rPr>
      </w:pPr>
      <w:r>
        <w:rPr>
          <w:sz w:val="22"/>
        </w:rPr>
        <w:t xml:space="preserve">WHEREAS, Enron (or one of its affiliates) from time to time has established or will establish one or more websites or other internet-based electronic trading facilities (collectively, the “Website”) for the trading of products and instruments based on energy products or other commodities (including derivatives products) (the "Commodities");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make available the Website for use by persons other than Counterparties who may select products, prices, quantities, terms and conditions posted on the Website (“Execute” or “Executions”) on behalf of other parties who are authorized by Enron to enter into Transactions with Enron (“Participants”); and</w:t>
      </w:r>
    </w:p>
    <w:p>
      <w:pPr>
        <w:pStyle w:val="Normal"/>
        <w:widowControl/>
        <w:jc w:val="both"/>
        <w:rPr>
          <w:sz w:val="22"/>
        </w:rPr>
      </w:pPr>
      <w:r>
        <w:rPr>
          <w:sz w:val="22"/>
        </w:rPr>
      </w:r>
    </w:p>
    <w:p>
      <w:pPr>
        <w:pStyle w:val="Normal"/>
        <w:widowControl/>
        <w:ind w:firstLine="1440" w:end="0"/>
        <w:jc w:val="both"/>
        <w:rPr>
          <w:sz w:val="22"/>
        </w:rPr>
      </w:pPr>
      <w:r>
        <w:rPr>
          <w:sz w:val="22"/>
        </w:rPr>
        <w:t>WHEREAS, Broker desires to obtain access to the Website and Enron desires to provide Broker with access to the Website, one or more user identification name(s) or number(s) (“user ID”) and one or more unique password(s) assigned to Broker by Enron (the “Password”) and Broker intends to access and utilize the Website solely in accordance with the terms and conditions of this Agreement.</w:t>
      </w:r>
    </w:p>
    <w:p>
      <w:pPr>
        <w:pStyle w:val="Normal"/>
        <w:widowControl/>
        <w:ind w:firstLine="1440" w:end="0"/>
        <w:jc w:val="both"/>
        <w:rPr>
          <w:sz w:val="22"/>
        </w:rPr>
      </w:pPr>
      <w:r>
        <w:rPr>
          <w:sz w:val="22"/>
        </w:rPr>
      </w:r>
    </w:p>
    <w:p>
      <w:pPr>
        <w:pStyle w:val="Normal"/>
        <w:widowControl/>
        <w:jc w:val="center"/>
        <w:rPr>
          <w:sz w:val="22"/>
          <w:u w:val="single"/>
        </w:rPr>
      </w:pPr>
      <w:r>
        <w:rPr>
          <w:sz w:val="22"/>
          <w:u w:val="single"/>
        </w:rPr>
        <w:t>AGREEMENTS:</w:t>
      </w:r>
    </w:p>
    <w:p>
      <w:pPr>
        <w:pStyle w:val="Normal"/>
        <w:widowControl/>
        <w:jc w:val="both"/>
        <w:rPr>
          <w:sz w:val="22"/>
          <w:u w:val="single"/>
        </w:rPr>
      </w:pPr>
      <w:r>
        <w:rPr>
          <w:sz w:val="22"/>
          <w:u w:val="single"/>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b/>
          <w:sz w:val="22"/>
        </w:rPr>
        <w: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by Enron to be completed by Broker, which together with this Agreement shall be considered a single agreement for all purposes and shall be referred to herein collectively as this “Agreement”) and to be legally bound by the terms and conditions of this Agreement.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b/>
          <w:sz w:val="22"/>
        </w:rPr>
        <w:t>.</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reasonable procedures established by Enron with respect to the access and utilization of the Website and any other terms and conditions specified, posted or published on the Website (including the Legal and Privacy Statement) from time to time, including any changes thereto made from time to time; provided, however, in the event of a conflict between any terms and conditions specified, posted or published to the Website and this Agreement, the terms and conditions of this Agreement shall control.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As to Broker, Enron may impose such other conditions upon access and trading activities as are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or if Broker is unable to access the area of the Website reserved for the submittal of Offers (as defined below) for a cumulative period over the term of this Agreement equal to seven (7) business days, other than as a result of Broker’s own actions or fault, then this Agreement will be deemed to be terminated and Enron will refund a pro rata portion of the Access Fee provided for in the Fee Agreement, to the extent that any portion of the Access Fee already paid to Enron is for a period extending beyond the termination date of this Agreement.  For purposes of the preceding sentence, a “business day” shall mean a consecutive twenty-four (24) hour period, beginning at 12:00 am (CST) and ending at 11:59 pm (CST) on the same day.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within the Website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Operative Agreements in respect of the products which are the subject matter of the relevant Execution from time to time.  An Execution, when accepted or confirmed by Enron, shall bind a Participant, as a Counterparty to a Transaction, in accordance with such Operative Agreement that may exist or occur between Enron and such Participant from time to time.</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the appropriate Enron trading affiliate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 xml:space="preserve">In the event that Broker fails to obtain the Broker Verification (as defined in paragraph (h) below) for an Execution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obtained the Broker Verification and delivered the Broker Verification to Enron as required in paragraph (h) below, or (iv) the date Enron otherwise determines that the Execution will not be honored by Counterparty as a Transaction.  Such liability for Liquidated Damages shall in no way limit Broker’s liability for damages resulting from or arising out of Broker’s fraud or misrepresentation.  </w:t>
      </w:r>
    </w:p>
    <w:p>
      <w:pPr>
        <w:pStyle w:val="Normal"/>
        <w:widowControl/>
        <w:ind w:firstLine="1440" w:end="0"/>
        <w:jc w:val="both"/>
        <w:rPr>
          <w:sz w:val="22"/>
        </w:rPr>
      </w:pPr>
      <w:r>
        <w:rPr>
          <w:sz w:val="22"/>
        </w:rPr>
      </w:r>
    </w:p>
    <w:p>
      <w:pPr>
        <w:pStyle w:val="BodyText"/>
        <w:ind w:firstLine="1440" w:end="0"/>
        <w:rPr/>
      </w:pPr>
      <w:r>
        <w:rPr>
          <w:b w:val="false"/>
          <w:sz w:val="22"/>
        </w:rPr>
        <w:t>(f)</w:t>
        <w:tab/>
        <w:t>Enron in its sole discretion will establish an Execution availability for Broker based upon Broker’s financial condition and any other criteria that Enron deems prudent.  Enron will use reasonable business judgment in determining the level of Execution availability.  Prior to Enron accepting or confirming an Execution by Broker, Enron will verify that Broker has adequate Execution availability to secure the Execution should it not be confirmed</w:t>
      </w:r>
      <w:r>
        <w:rPr>
          <w:b w:val="false"/>
          <w:color w:val="FF0000"/>
          <w:sz w:val="22"/>
        </w:rPr>
        <w:t xml:space="preserve"> </w:t>
      </w:r>
      <w:r>
        <w:rPr>
          <w:b w:val="false"/>
          <w:sz w:val="22"/>
        </w:rPr>
        <w:t>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t xml:space="preserve"> </w:t>
      </w:r>
    </w:p>
    <w:p>
      <w:pPr>
        <w:pStyle w:val="Normal"/>
        <w:widowControl/>
        <w:ind w:firstLine="1440" w:end="0"/>
        <w:jc w:val="both"/>
        <w:rPr>
          <w:sz w:val="22"/>
        </w:rPr>
      </w:pPr>
      <w:r>
        <w:rPr>
          <w:sz w:val="22"/>
        </w:rPr>
        <w:t>(g)</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 xml:space="preserve">On the day of each Execution, Broker will (i) verify each Execution with the relevant Counterparty in writing or by telephone, including verification of its authority pursuant to paragraph 2(a) (the “Broker Verification”) (ii) notify Enron of the Broker Verification by telephone and (iii) deliver to Enron a written summary of all Executions which occurred on such day and confirming the Broker Verification.  Broker agrees that it will record all telephone conversations with Counterparties regarding Transactions and will make copies of such recordings available to Enron on reasonable request.  Any action required under this paragraph (h) by Broker may be accomplished by electronic means (including, but not limited to, electronic mail or facsimile transmission).  </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At such time as Broker has satisfied its obligations under paragraph (g) above, including, but not limited to, the delivery of the Broker Verification to Enron, Broker shall no longer have any responsibility or liability to Enron under paragraph (e) above in relation to the specific Executions identified in the Broker Verification, subject only to Broker’s fraud and/or misrepresentations.  In the event a Participant fails to confirm or otherwise accept liability for a Transaction in spite of the Broker Verification provided by Broker and Broker’s actions in obtaining such Broker Verification, Broker agrees that it will use all reasonable efforts to assist Enron in supporting the Broker Verification; provided, however, Broker shall not be required, on its own behalf, to institute legal proceedings against the Participant.</w:t>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ab/>
        <w:t>(k)</w:t>
        <w:tab/>
        <w:t>The parties agree that Broker shall have no obligation to make Executions through the Website.</w:t>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b/>
          <w:sz w:val="22"/>
          <w:u w:val="single"/>
        </w:rPr>
      </w:pPr>
      <w:r>
        <w:rPr>
          <w:b/>
          <w:sz w:val="22"/>
        </w:rPr>
        <w:t>4.</w:t>
        <w:tab/>
      </w:r>
      <w:r>
        <w:rPr>
          <w:b/>
          <w:sz w:val="22"/>
          <w:u w:val="single"/>
        </w:rPr>
        <w:t>LIMITATION OF LIABILITY; INDEMNITY</w:t>
      </w:r>
      <w:r>
        <w:rPr>
          <w:b/>
          <w:sz w:val="22"/>
        </w:rPr>
        <w:t>.</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THIS SECTION SHALL NOT LIMIT THE LIABILITY OF ENRON, AND ITS DIRECTORS, OFFICERS, EMPLOYEES AND AGENTS, WHERE SUCH LIABILITY IS CAUSED BY THEIR (I) FRAUD, (II) WILFULL ACTS OR OMISSIONS, OR (III) A CLAIM MADE AGAINST BROKER THAT BROKER’S ACCESS TO AND USE OF THE WEBSITE VIOLATES OR OTHERWISE INFRINGES ON ANY PATENT, TRADE MARK OR OTHER INTELLECTUAL PROPERTY RIGHTS OF A THIRD PARTY (COLLECTIVELY, “ENRON’S ACTIONS”).</w:t>
      </w:r>
    </w:p>
    <w:p>
      <w:pPr>
        <w:pStyle w:val="Normal"/>
        <w:widowControl/>
        <w:ind w:firstLine="1440" w:end="0"/>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(collectively, “Costs”) resulting from or arising out of (i) Broker’s breach of or failure to perform any provision of this Agreement, (ii) Broker’s access to and utilization of the Website, including, without limitation any access or entry into any other Enron system other than the Website, (iii) any act or omission by any person (other than by hacker who have not obtained the Passwords from or through Broker) obtaining access to the Website through the user ID or Password, whether or not Broker has authorized such access, and/or (iv) any actions taken or not taken by Broker as a result of or based on its access to or utilization of the Website, unless such Costs associated with access, entry or action taken or not taken by Broker arise from the failure of Enron to maintain commercially reasonable security controls for the Website, from the negligence or intentional misconduct of Enron and its directors, officers, employees, agents or contractors or from Enron’s Actions.</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pursuant to this Agreement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  The provisions of clause 5(a) shall not apply to the disclosure by Enron of information regarding specific Transactions or groups of Transactions so long as identity of the Counterparty is not disclosed in connection therewith.</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the full execution of this Agreement by both Enron and Broker.</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Broker without the express prior written consent of Enron.  Enron shall have the ability to freely assign this Agreement to any affiliate, subsidiary or third party; provided, however, if Broker, acting in a commercially reasonable manner, should not approve of any third party to whom this Agreement has been assigned, Broker may terminate this Agreement and, in accordance with Section 2(e), receive a pro rate refund of the Access Fee.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ind w:firstLine="1440" w:end="0"/>
        <w:jc w:val="both"/>
        <w:rPr>
          <w:sz w:val="22"/>
        </w:rPr>
      </w:pPr>
      <w:r>
        <w:rPr>
          <w:sz w:val="22"/>
        </w:rPr>
      </w:r>
    </w:p>
    <w:p>
      <w:pPr>
        <w:pStyle w:val="Normal"/>
        <w:widowControl/>
        <w:ind w:firstLine="1440" w:end="0"/>
        <w:jc w:val="both"/>
        <w:rPr>
          <w:sz w:val="22"/>
        </w:rPr>
      </w:pPr>
      <w:r>
        <w:rPr>
          <w:sz w:val="22"/>
        </w:rPr>
        <w:t>(g)</w:t>
        <w:tab/>
        <w:t xml:space="preserve">Broker acknowledges that the Website may contain content, data and other information having the look and feel of, and/or describing, the content, data and other information available in a website or other internet-based electronic trading facility presented by Enron specifically for the trading of Commodities by Counterparties directly with Enron (the "Counterparty Website").  The access and utilization rights granted to Broker under this Agreement are limited solely to the Website and do not enable Broker, acting on behalf of a Participant or Counterparty, to access or utilize the Counterparty Website for Executions or with the intention of completing a Transaction on behalf of a Participant or Counterparty.  </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ab/>
        <w:t>EXECUTED by Enron and Broker on the dates set forth below, but to be effective as of the date first written above.</w:t>
      </w:r>
    </w:p>
    <w:p>
      <w:pPr>
        <w:pStyle w:val="Normal"/>
        <w:widowControl/>
        <w:jc w:val="both"/>
        <w:rPr>
          <w:sz w:val="22"/>
        </w:rPr>
      </w:pPr>
      <w:r>
        <w:rPr>
          <w:sz w:val="22"/>
        </w:rPr>
      </w:r>
    </w:p>
    <w:p>
      <w:pPr>
        <w:pStyle w:val="Normal"/>
        <w:widowControl/>
        <w:jc w:val="both"/>
        <w:rPr>
          <w:sz w:val="22"/>
        </w:rPr>
      </w:pPr>
      <w:r>
        <w:rPr>
          <w:sz w:val="22"/>
        </w:rPr>
      </w:r>
    </w:p>
    <w:p>
      <w:pPr>
        <w:pStyle w:val="Normal"/>
        <w:widowControl/>
        <w:ind w:hanging="5760" w:start="5760" w:end="0"/>
        <w:jc w:val="both"/>
        <w:rPr>
          <w:sz w:val="22"/>
        </w:rPr>
      </w:pPr>
      <w:r>
        <w:rPr>
          <w:sz w:val="22"/>
        </w:rPr>
        <w:t>ENRONONLINE, LLC</w:t>
        <w:tab/>
        <w:tab/>
        <w:tab/>
        <w:tab/>
        <w:tab/>
        <w:tab/>
        <w:t>TFS ENERGY, LLC, acting through its London Office</w:t>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By:______________________________</w:t>
        <w:tab/>
        <w:tab/>
        <w:tab/>
        <w:t>By:______________________________</w:t>
      </w:r>
    </w:p>
    <w:p>
      <w:pPr>
        <w:pStyle w:val="Normal"/>
        <w:widowControl/>
        <w:jc w:val="both"/>
        <w:rPr>
          <w:sz w:val="22"/>
        </w:rPr>
      </w:pPr>
      <w:r>
        <w:rPr>
          <w:sz w:val="22"/>
        </w:rPr>
      </w:r>
    </w:p>
    <w:p>
      <w:pPr>
        <w:pStyle w:val="Normal"/>
        <w:widowControl/>
        <w:jc w:val="both"/>
        <w:rPr>
          <w:sz w:val="22"/>
        </w:rPr>
      </w:pPr>
      <w:r>
        <w:rPr>
          <w:sz w:val="22"/>
        </w:rPr>
        <w:t>Name: ___________________________</w:t>
        <w:tab/>
        <w:tab/>
        <w:tab/>
        <w:t>Name: ___________________________</w:t>
      </w:r>
    </w:p>
    <w:p>
      <w:pPr>
        <w:pStyle w:val="Normal"/>
        <w:widowControl/>
        <w:jc w:val="both"/>
        <w:rPr>
          <w:sz w:val="22"/>
        </w:rPr>
      </w:pPr>
      <w:r>
        <w:rPr>
          <w:sz w:val="22"/>
        </w:rPr>
      </w:r>
    </w:p>
    <w:p>
      <w:pPr>
        <w:pStyle w:val="Normal"/>
        <w:widowControl/>
        <w:jc w:val="both"/>
        <w:rPr>
          <w:sz w:val="22"/>
        </w:rPr>
      </w:pPr>
      <w:r>
        <w:rPr>
          <w:sz w:val="22"/>
        </w:rPr>
        <w:t>Title:_________________________________</w:t>
        <w:tab/>
        <w:tab/>
        <w:tab/>
        <w:t>Title:_____________________________</w:t>
      </w:r>
    </w:p>
    <w:p>
      <w:pPr>
        <w:pStyle w:val="Normal"/>
        <w:widowControl/>
        <w:jc w:val="both"/>
        <w:rPr>
          <w:sz w:val="22"/>
        </w:rPr>
      </w:pPr>
      <w:r>
        <w:rPr>
          <w:sz w:val="22"/>
        </w:rPr>
      </w:r>
    </w:p>
    <w:p>
      <w:pPr>
        <w:pStyle w:val="Normal"/>
        <w:widowControl/>
        <w:jc w:val="both"/>
        <w:rPr>
          <w:sz w:val="22"/>
        </w:rPr>
      </w:pPr>
      <w:r>
        <w:rPr>
          <w:sz w:val="22"/>
        </w:rPr>
        <w:t>Date:_____________________________</w:t>
        <w:tab/>
        <w:tab/>
        <w:tab/>
        <w:t>Date:_____________________________</w:t>
      </w:r>
    </w:p>
    <w:p>
      <w:pPr>
        <w:pStyle w:val="Normal"/>
        <w:widowControl/>
        <w:jc w:val="both"/>
        <w:rPr>
          <w:sz w:val="22"/>
        </w:rPr>
      </w:pPr>
      <w:r>
        <w:rPr>
          <w:sz w:val="22"/>
        </w:rPr>
      </w:r>
    </w:p>
    <w:p>
      <w:pPr>
        <w:pStyle w:val="Normal"/>
        <w:widowControl/>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FILENAME \p </w:instrText>
    </w:r>
    <w:r>
      <w:rPr>
        <w:sz w:val="16"/>
      </w:rPr>
      <w:fldChar w:fldCharType="separate"/>
    </w:r>
    <w:r>
      <w:rPr>
        <w:sz w:val="16"/>
      </w:rPr>
      <w:t>/mnt/main-storage/datasets/enron-docs/doc/TFS_London_Branch_beta.doc</w:t>
    </w:r>
    <w:r>
      <w:rPr>
        <w:sz w:val="16"/>
      </w:rPr>
      <w:fldChar w:fldCharType="end"/>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2001-10-22T15:38:00Z</dcterms:created>
  <dc:creator>mtaylo1</dc:creator>
  <dc:description/>
  <dc:language>en-CA</dc:language>
  <cp:lastModifiedBy>tjones</cp:lastModifiedBy>
  <cp:lastPrinted>2001-10-22T13:14:00Z</cp:lastPrinted>
  <dcterms:modified xsi:type="dcterms:W3CDTF">2001-10-22T15:44:00Z</dcterms:modified>
  <cp:revision>6</cp:revision>
  <dc:subject/>
  <dc:title/>
</cp:coreProperties>
</file>