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Transaction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(4) Any Execution will be deemed to be “in writing” and to have been “signed”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material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$150,000 for access to access to North American Gas (the “Access Fee”) which fee shall be due and payable in equal monthly installments, with the first such installment being due and payable upon the issuance and activation of the initial password and user ID for Broker and each successive installments being due and payable on the first (1</w:t>
      </w:r>
      <w:r>
        <w:rPr>
          <w:vertAlign w:val="superscript"/>
        </w:rPr>
        <w:t>st</w:t>
      </w:r>
      <w:r>
        <w:rPr/>
        <w:t>) day of each calendar month thereafter.  This Fee Agreement shall be effective from the later of the receipt by Enron of the first installment of the Access Fee or the date of issuance or activation of the initial password and userid for Broker and shall extend until June 26, 2002.  At that time, the balance of the Access Fee shall be due and owing to Enron by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 acting through its London Office</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International Sea Freight</w:t>
      </w:r>
    </w:p>
    <w:p>
      <w:pPr>
        <w:pStyle w:val="Heading1"/>
        <w:rPr/>
      </w:pPr>
      <w:r>
        <w:rPr/>
        <w:t>Continental Power</w:t>
      </w:r>
    </w:p>
    <w:p>
      <w:pPr>
        <w:pStyle w:val="Heading1"/>
        <w:rPr/>
      </w:pPr>
      <w:r>
        <w:rPr/>
        <w:t>International Coal</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/mnt/main-storage/datasets/enron-docs/doc/TFS_London_Branch_Fee_Agmt.doc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2001-10-22T15:35:00Z</dcterms:created>
  <dc:creator>mtaylo1</dc:creator>
  <dc:description/>
  <dc:language>en-CA</dc:language>
  <cp:lastModifiedBy>tjones</cp:lastModifiedBy>
  <cp:lastPrinted>2001-10-22T15:59:00Z</cp:lastPrinted>
  <dcterms:modified xsi:type="dcterms:W3CDTF">2001-10-22T20:08:00Z</dcterms:modified>
  <cp:revision>9</cp:revision>
  <dc:subject/>
  <dc:title/>
</cp:coreProperties>
</file>