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sz w:val="28"/>
        </w:rPr>
      </w:pPr>
      <w:r>
        <w:rPr>
          <w:rFonts w:cs="Arial" w:ascii="Arial" w:hAnsi="Arial"/>
          <w:b/>
          <w:sz w:val="28"/>
        </w:rPr>
        <w:t>UNITED STATES OF AMERICA</w:t>
      </w:r>
    </w:p>
    <w:p>
      <w:pPr>
        <w:pStyle w:val="Normal"/>
        <w:spacing w:lineRule="auto" w:line="240"/>
        <w:jc w:val="center"/>
        <w:rPr>
          <w:rFonts w:ascii="Arial" w:hAnsi="Arial" w:cs="Arial"/>
          <w:b/>
          <w:sz w:val="28"/>
        </w:rPr>
      </w:pPr>
      <w:r>
        <w:rPr>
          <w:rFonts w:cs="Arial" w:ascii="Arial" w:hAnsi="Arial"/>
          <w:b/>
          <w:sz w:val="28"/>
        </w:rPr>
        <w:t>BEFORE THE</w:t>
      </w:r>
    </w:p>
    <w:p>
      <w:pPr>
        <w:pStyle w:val="Normal"/>
        <w:spacing w:lineRule="auto" w:line="240"/>
        <w:jc w:val="center"/>
        <w:rPr>
          <w:rFonts w:ascii="Arial" w:hAnsi="Arial" w:cs="Arial"/>
          <w:b/>
          <w:sz w:val="28"/>
        </w:rPr>
      </w:pPr>
      <w:r>
        <w:rPr>
          <w:rFonts w:cs="Arial" w:ascii="Arial" w:hAnsi="Arial"/>
          <w:b/>
          <w:sz w:val="28"/>
        </w:rPr>
        <w:t>FEDERAL ENERGY REGULATORY COMMISSION</w:t>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rPr>
      </w:pPr>
      <w:r>
        <w:rPr>
          <w:rFonts w:eastAsia="Arial" w:cs="Arial" w:ascii="Arial" w:hAnsi="Arial"/>
          <w:b/>
          <w:sz w:val="28"/>
        </w:rPr>
        <w:t xml:space="preserve"> </w:t>
      </w:r>
    </w:p>
    <w:p>
      <w:pPr>
        <w:pStyle w:val="Normal"/>
        <w:spacing w:lineRule="auto" w:line="240"/>
        <w:rPr>
          <w:rFonts w:ascii="Arial" w:hAnsi="Arial" w:cs="Arial"/>
          <w:b/>
        </w:rPr>
      </w:pPr>
      <w:r>
        <w:rPr>
          <w:rFonts w:cs="Arial" w:ascii="Arial" w:hAnsi="Arial"/>
          <w:b/>
        </w:rPr>
        <w:t xml:space="preserve">Puget Sound Energy, Inc., </w:t>
        <w:tab/>
        <w:tab/>
        <w:tab/>
        <w:tab/>
        <w:t>Docket Nos. EL01-10-000</w:t>
      </w:r>
    </w:p>
    <w:p>
      <w:pPr>
        <w:pStyle w:val="Normal"/>
        <w:spacing w:lineRule="auto" w:line="240"/>
        <w:rPr>
          <w:rFonts w:ascii="Arial" w:hAnsi="Arial" w:cs="Arial"/>
          <w:b/>
        </w:rPr>
      </w:pPr>
      <w:r>
        <w:rPr>
          <w:rFonts w:cs="Arial" w:ascii="Arial" w:hAnsi="Arial"/>
          <w:b/>
        </w:rPr>
        <w:tab/>
        <w:tab/>
        <w:t xml:space="preserve">Complainant, </w:t>
        <w:tab/>
        <w:tab/>
        <w:tab/>
        <w:tab/>
        <w:tab/>
        <w:tab/>
        <w:t>EL01-10-001</w:t>
      </w:r>
    </w:p>
    <w:p>
      <w:pPr>
        <w:pStyle w:val="Normal"/>
        <w:spacing w:lineRule="auto" w:line="240"/>
        <w:rPr>
          <w:rFonts w:ascii="Arial" w:hAnsi="Arial" w:cs="Arial"/>
          <w:b/>
        </w:rPr>
      </w:pPr>
      <w:r>
        <w:rPr>
          <w:rFonts w:cs="Arial" w:ascii="Arial" w:hAnsi="Arial"/>
          <w:b/>
        </w:rPr>
      </w:r>
    </w:p>
    <w:p>
      <w:pPr>
        <w:pStyle w:val="Normal"/>
        <w:spacing w:lineRule="auto" w:line="240"/>
        <w:rPr>
          <w:rFonts w:ascii="Arial" w:hAnsi="Arial" w:cs="Arial"/>
          <w:b/>
        </w:rPr>
      </w:pPr>
      <w:r>
        <w:rPr>
          <w:rFonts w:cs="Arial" w:ascii="Arial" w:hAnsi="Arial"/>
          <w:b/>
        </w:rPr>
      </w:r>
    </w:p>
    <w:p>
      <w:pPr>
        <w:pStyle w:val="Normal"/>
        <w:spacing w:lineRule="auto" w:line="240"/>
        <w:rPr>
          <w:rFonts w:ascii="Arial" w:hAnsi="Arial" w:cs="Arial"/>
          <w:b/>
        </w:rPr>
      </w:pPr>
      <w:r>
        <w:rPr>
          <w:rFonts w:cs="Arial" w:ascii="Arial" w:hAnsi="Arial"/>
          <w:b/>
        </w:rPr>
        <w:tab/>
        <w:tab/>
        <w:t>v.</w:t>
      </w:r>
    </w:p>
    <w:p>
      <w:pPr>
        <w:pStyle w:val="Normal"/>
        <w:spacing w:lineRule="auto" w:line="240"/>
        <w:rPr>
          <w:rFonts w:ascii="Arial" w:hAnsi="Arial" w:cs="Arial"/>
          <w:b/>
        </w:rPr>
      </w:pPr>
      <w:r>
        <w:rPr>
          <w:rFonts w:cs="Arial" w:ascii="Arial" w:hAnsi="Arial"/>
          <w:b/>
        </w:rPr>
      </w:r>
    </w:p>
    <w:p>
      <w:pPr>
        <w:pStyle w:val="Normal"/>
        <w:spacing w:lineRule="auto" w:line="240"/>
        <w:rPr>
          <w:rFonts w:ascii="Arial" w:hAnsi="Arial" w:cs="Arial"/>
          <w:b/>
        </w:rPr>
      </w:pPr>
      <w:r>
        <w:rPr>
          <w:rFonts w:cs="Arial" w:ascii="Arial" w:hAnsi="Arial"/>
          <w:b/>
        </w:rPr>
        <w:t>All Jurisdictional Sellers of Energy and/or</w:t>
      </w:r>
    </w:p>
    <w:p>
      <w:pPr>
        <w:pStyle w:val="Normal"/>
        <w:spacing w:lineRule="auto" w:line="240"/>
        <w:rPr>
          <w:rFonts w:ascii="Arial" w:hAnsi="Arial" w:cs="Arial"/>
          <w:b/>
        </w:rPr>
      </w:pPr>
      <w:r>
        <w:rPr>
          <w:rFonts w:cs="Arial" w:ascii="Arial" w:hAnsi="Arial"/>
          <w:b/>
        </w:rPr>
        <w:t>Capacity at Wholesale Into Electric Energy</w:t>
      </w:r>
    </w:p>
    <w:p>
      <w:pPr>
        <w:pStyle w:val="Normal"/>
        <w:spacing w:lineRule="auto" w:line="240"/>
        <w:rPr>
          <w:rFonts w:ascii="Arial" w:hAnsi="Arial" w:cs="Arial"/>
          <w:b/>
        </w:rPr>
      </w:pPr>
      <w:r>
        <w:rPr>
          <w:rFonts w:cs="Arial" w:ascii="Arial" w:hAnsi="Arial"/>
          <w:b/>
        </w:rPr>
        <w:t>and/or Capacity Markets in the Pacific</w:t>
      </w:r>
    </w:p>
    <w:p>
      <w:pPr>
        <w:pStyle w:val="Normal"/>
        <w:spacing w:lineRule="auto" w:line="240"/>
        <w:rPr>
          <w:rFonts w:ascii="Arial" w:hAnsi="Arial" w:cs="Arial"/>
          <w:b/>
        </w:rPr>
      </w:pPr>
      <w:r>
        <w:rPr>
          <w:rFonts w:cs="Arial" w:ascii="Arial" w:hAnsi="Arial"/>
          <w:b/>
        </w:rPr>
        <w:t xml:space="preserve">Northwest, including parties to the Western </w:t>
      </w:r>
    </w:p>
    <w:p>
      <w:pPr>
        <w:pStyle w:val="Normal"/>
        <w:spacing w:lineRule="auto" w:line="240"/>
        <w:rPr>
          <w:rFonts w:ascii="Arial" w:hAnsi="Arial" w:cs="Arial"/>
          <w:b/>
        </w:rPr>
      </w:pPr>
      <w:r>
        <w:rPr>
          <w:rFonts w:cs="Arial" w:ascii="Arial" w:hAnsi="Arial"/>
          <w:b/>
        </w:rPr>
        <w:t xml:space="preserve">Systems Power Pool Agreement, </w:t>
      </w:r>
    </w:p>
    <w:p>
      <w:pPr>
        <w:pStyle w:val="Normal"/>
        <w:spacing w:lineRule="auto" w:line="240"/>
        <w:rPr>
          <w:rFonts w:ascii="Arial" w:hAnsi="Arial" w:cs="Arial"/>
          <w:b/>
        </w:rPr>
      </w:pPr>
      <w:r>
        <w:rPr>
          <w:rFonts w:cs="Arial" w:ascii="Arial" w:hAnsi="Arial"/>
          <w:b/>
        </w:rPr>
        <w:t>Respondents</w:t>
      </w:r>
    </w:p>
    <w:p>
      <w:pPr>
        <w:pStyle w:val="Normal"/>
        <w:spacing w:lineRule="auto" w:line="240"/>
        <w:jc w:val="center"/>
        <w:rPr>
          <w:rFonts w:ascii="Arial" w:hAnsi="Arial" w:cs="Arial"/>
          <w:b/>
          <w:sz w:val="26"/>
        </w:rPr>
      </w:pPr>
      <w:r>
        <w:rPr>
          <w:rFonts w:cs="Arial" w:ascii="Arial" w:hAnsi="Arial"/>
          <w:b/>
          <w:sz w:val="26"/>
        </w:rPr>
      </w:r>
    </w:p>
    <w:p>
      <w:pPr>
        <w:pStyle w:val="Normal"/>
        <w:spacing w:lineRule="auto" w:line="240"/>
        <w:jc w:val="center"/>
        <w:rPr>
          <w:rFonts w:ascii="Arial" w:hAnsi="Arial" w:cs="Arial"/>
          <w:b/>
          <w:sz w:val="26"/>
        </w:rPr>
      </w:pPr>
      <w:r>
        <w:rPr>
          <w:rFonts w:cs="Arial" w:ascii="Arial" w:hAnsi="Arial"/>
          <w:b/>
          <w:sz w:val="26"/>
        </w:rPr>
      </w:r>
    </w:p>
    <w:p>
      <w:pPr>
        <w:pStyle w:val="Normal"/>
        <w:spacing w:lineRule="auto" w:line="240"/>
        <w:jc w:val="center"/>
        <w:rPr>
          <w:rFonts w:ascii="Arial" w:hAnsi="Arial" w:cs="Arial"/>
          <w:b/>
          <w:sz w:val="26"/>
        </w:rPr>
      </w:pPr>
      <w:r>
        <w:rPr>
          <w:rFonts w:cs="Arial" w:ascii="Arial" w:hAnsi="Arial"/>
          <w:b/>
          <w:sz w:val="26"/>
        </w:rPr>
      </w:r>
    </w:p>
    <w:p>
      <w:pPr>
        <w:pStyle w:val="Normal"/>
        <w:spacing w:lineRule="auto" w:line="240"/>
        <w:jc w:val="center"/>
        <w:rPr>
          <w:rFonts w:ascii="Arial" w:hAnsi="Arial" w:cs="Arial"/>
          <w:b/>
          <w:sz w:val="28"/>
        </w:rPr>
      </w:pPr>
      <w:r>
        <w:rPr>
          <w:rFonts w:cs="Arial" w:ascii="Arial" w:hAnsi="Arial"/>
          <w:b/>
          <w:sz w:val="28"/>
        </w:rPr>
        <w:t>PREPARED ANSWERING TESTIMONY</w:t>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sz w:val="28"/>
        </w:rPr>
      </w:pPr>
      <w:r>
        <w:rPr>
          <w:rFonts w:cs="Arial" w:ascii="Arial" w:hAnsi="Arial"/>
          <w:sz w:val="28"/>
        </w:rPr>
        <w:t>of</w:t>
      </w:r>
    </w:p>
    <w:p>
      <w:pPr>
        <w:pStyle w:val="Normal"/>
        <w:spacing w:lineRule="auto" w:line="240"/>
        <w:jc w:val="center"/>
        <w:rPr>
          <w:rFonts w:ascii="Arial" w:hAnsi="Arial" w:cs="Arial"/>
          <w:sz w:val="28"/>
        </w:rPr>
      </w:pPr>
      <w:r>
        <w:rPr>
          <w:rFonts w:cs="Arial" w:ascii="Arial" w:hAnsi="Arial"/>
          <w:sz w:val="28"/>
        </w:rPr>
      </w:r>
    </w:p>
    <w:p>
      <w:pPr>
        <w:pStyle w:val="Normal"/>
        <w:spacing w:lineRule="auto" w:line="240"/>
        <w:jc w:val="center"/>
        <w:rPr>
          <w:rFonts w:ascii="Arial" w:hAnsi="Arial" w:cs="Arial"/>
          <w:sz w:val="28"/>
        </w:rPr>
      </w:pPr>
      <w:r>
        <w:rPr>
          <w:rFonts w:cs="Arial" w:ascii="Arial" w:hAnsi="Arial"/>
          <w:sz w:val="28"/>
        </w:rPr>
      </w:r>
    </w:p>
    <w:p>
      <w:pPr>
        <w:pStyle w:val="Normal"/>
        <w:spacing w:lineRule="auto" w:line="240"/>
        <w:jc w:val="center"/>
        <w:rPr>
          <w:rFonts w:ascii="Arial" w:hAnsi="Arial" w:cs="Arial"/>
          <w:b/>
          <w:sz w:val="28"/>
        </w:rPr>
      </w:pPr>
      <w:r>
        <w:rPr>
          <w:rFonts w:cs="Arial" w:ascii="Arial" w:hAnsi="Arial"/>
          <w:b/>
          <w:sz w:val="28"/>
        </w:rPr>
        <w:t>Scott T. Jones</w:t>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sz w:val="26"/>
        </w:rPr>
      </w:pPr>
      <w:r>
        <w:rPr>
          <w:rFonts w:cs="Arial" w:ascii="Arial" w:hAnsi="Arial"/>
          <w:b/>
          <w:sz w:val="26"/>
        </w:rPr>
        <w:t>On Behalf Of</w:t>
      </w:r>
    </w:p>
    <w:p>
      <w:pPr>
        <w:pStyle w:val="Normal"/>
        <w:spacing w:lineRule="auto" w:line="240"/>
        <w:jc w:val="center"/>
        <w:rPr>
          <w:rFonts w:ascii="Arial" w:hAnsi="Arial" w:cs="Arial"/>
          <w:b/>
          <w:sz w:val="28"/>
        </w:rPr>
      </w:pPr>
      <w:r>
        <w:rPr>
          <w:rFonts w:cs="Arial" w:ascii="Arial" w:hAnsi="Arial"/>
          <w:b/>
          <w:sz w:val="28"/>
        </w:rPr>
      </w:r>
    </w:p>
    <w:p>
      <w:pPr>
        <w:pStyle w:val="Normal"/>
        <w:spacing w:lineRule="auto" w:line="240"/>
        <w:jc w:val="center"/>
        <w:rPr>
          <w:rFonts w:ascii="Arial" w:hAnsi="Arial" w:cs="Arial"/>
          <w:b/>
          <w:sz w:val="28"/>
        </w:rPr>
      </w:pPr>
      <w:r>
        <w:rPr>
          <w:rFonts w:cs="Arial" w:ascii="Arial" w:hAnsi="Arial"/>
          <w:b/>
          <w:sz w:val="28"/>
        </w:rPr>
        <w:t>PPL Montana, LLC</w:t>
      </w:r>
    </w:p>
    <w:p>
      <w:pPr>
        <w:pStyle w:val="Normal"/>
        <w:spacing w:lineRule="auto" w:line="240"/>
        <w:jc w:val="center"/>
        <w:rPr>
          <w:rFonts w:ascii="Arial" w:hAnsi="Arial" w:cs="Arial"/>
          <w:b/>
          <w:sz w:val="28"/>
        </w:rPr>
      </w:pPr>
      <w:r>
        <w:rPr>
          <w:rFonts w:cs="Arial" w:ascii="Arial" w:hAnsi="Arial"/>
          <w:b/>
          <w:sz w:val="28"/>
        </w:rPr>
        <w:t>and</w:t>
      </w:r>
    </w:p>
    <w:p>
      <w:pPr>
        <w:sectPr>
          <w:headerReference w:type="default" r:id="rId2"/>
          <w:footerReference w:type="default" r:id="rId3"/>
          <w:type w:val="nextPage"/>
          <w:pgSz w:w="12240" w:h="15840"/>
          <w:pgMar w:left="1440" w:right="1440" w:gutter="0" w:header="1440" w:top="1496" w:footer="720" w:bottom="1440"/>
          <w:lnNumType w:countBy="1" w:restart="newPage" w:distance="1440"/>
          <w:pgNumType w:start="1" w:fmt="decimal"/>
          <w:formProt w:val="false"/>
          <w:textDirection w:val="lrTb"/>
          <w:docGrid w:type="default" w:linePitch="360" w:charSpace="0"/>
        </w:sectPr>
        <w:pStyle w:val="Normal"/>
        <w:spacing w:lineRule="auto" w:line="240"/>
        <w:jc w:val="center"/>
        <w:rPr>
          <w:rFonts w:ascii="Arial" w:hAnsi="Arial" w:cs="Arial"/>
          <w:b/>
          <w:sz w:val="28"/>
        </w:rPr>
      </w:pPr>
      <w:r>
        <w:rPr>
          <w:rFonts w:cs="Arial" w:ascii="Arial" w:hAnsi="Arial"/>
          <w:b/>
          <w:sz w:val="28"/>
        </w:rPr>
        <w:t>PPL EnergyPlus, LLC</w:t>
      </w:r>
    </w:p>
    <w:p>
      <w:pPr>
        <w:pStyle w:val="Heading1"/>
        <w:spacing w:before="0" w:after="240"/>
        <w:ind w:hanging="0" w:start="0"/>
        <w:rPr>
          <w:rFonts w:ascii="Arial" w:hAnsi="Arial" w:cs="Arial"/>
        </w:rPr>
      </w:pPr>
      <w:r>
        <w:rPr>
          <w:rFonts w:cs="Arial" w:ascii="Arial" w:hAnsi="Arial"/>
        </w:rPr>
        <w:t>Introduction</w:t>
      </w:r>
    </w:p>
    <w:p>
      <w:pPr>
        <w:pStyle w:val="NormalQuestion"/>
        <w:numPr>
          <w:ilvl w:val="0"/>
          <w:numId w:val="30"/>
        </w:numPr>
        <w:ind w:hanging="0" w:start="0"/>
        <w:rPr/>
      </w:pPr>
      <w:r>
        <w:rPr/>
        <w:t>Please state your name, address and occupation.</w:t>
      </w:r>
    </w:p>
    <w:p>
      <w:pPr>
        <w:pStyle w:val="NormalAnswer"/>
        <w:numPr>
          <w:ilvl w:val="0"/>
          <w:numId w:val="17"/>
        </w:numPr>
        <w:rPr/>
      </w:pPr>
      <w:r>
        <w:rPr/>
        <w:t>My name is Scott T. Jones.  My business address is One Mifflin Place, Cambridge, Massachusetts.  I am Senior Vice President, Lexecon Inc.  Lexecon is a large consulting firm specializing in economic, energy and finance.  Lexecon professionals provide economic analysis and strategic advice to large industrial clients such as utilities, regulatory agencies and other private and public sector entities.</w:t>
      </w:r>
    </w:p>
    <w:p>
      <w:pPr>
        <w:pStyle w:val="NormalQuestion"/>
        <w:numPr>
          <w:ilvl w:val="0"/>
          <w:numId w:val="30"/>
        </w:numPr>
        <w:ind w:hanging="0" w:start="0"/>
        <w:rPr/>
      </w:pPr>
      <w:r>
        <w:rPr/>
        <w:t>Please state your qualifications and educational background.</w:t>
      </w:r>
    </w:p>
    <w:p>
      <w:pPr>
        <w:pStyle w:val="NormalAnswer"/>
        <w:numPr>
          <w:ilvl w:val="0"/>
          <w:numId w:val="39"/>
        </w:numPr>
        <w:rPr/>
      </w:pPr>
      <w:r>
        <w:rPr/>
        <w:t>I have spent the past 26 years as a consultant to and a senior executive in the energy industry.  I have testified dozens of times before state and federal courts and commissions.  Details regarding my educational background and experience can be found in Exhibit STJ-2 attached to my Prepared Answering Testimony.</w:t>
      </w:r>
    </w:p>
    <w:p>
      <w:pPr>
        <w:pStyle w:val="NormalQuestion"/>
        <w:numPr>
          <w:ilvl w:val="0"/>
          <w:numId w:val="30"/>
        </w:numPr>
        <w:ind w:hanging="0" w:start="0"/>
        <w:rPr/>
      </w:pPr>
      <w:r>
        <w:rPr/>
        <w:t>What is the scope and purpose of your Prepared Answering Testimony?</w:t>
      </w:r>
    </w:p>
    <w:p>
      <w:pPr>
        <w:pStyle w:val="NormalAnswer"/>
        <w:numPr>
          <w:ilvl w:val="0"/>
          <w:numId w:val="21"/>
        </w:numPr>
        <w:rPr/>
      </w:pPr>
      <w:r>
        <w:rPr/>
        <w:t>I have been asked by PPL Montana, LLC and PPL EnergyPlus, LLC (hereafter collectively referred to as “PPL”), both members of the Transaction Finality Group (TFG), to address certain allegations raised by the members of the Northwest Net Purchasers Group (NPG) that result in their claim of refunds due from certain members of the TFG based on the purchase and sale of electric energy and capacity under contracts in effect from December 25, 2000, through June 20, 2001.</w:t>
      </w:r>
      <w:r>
        <w:rPr>
          <w:rStyle w:val="FootnoteCharacters"/>
          <w:rStyle w:val="FootnoteReference"/>
        </w:rPr>
        <w:footnoteReference w:id="2"/>
      </w:r>
      <w:r>
        <w:rPr/>
        <w:t xml:space="preserve">  First, I will explain how Commission-ordered refunds in the Pacific Northwest (PNW) – as a form of retroactive regulation -- will increase the cost of electricity and misapply sound regulatory and economic principles that could dismantle market forces currently working to prevent a reoccurrence of the price spikes seen in the PNW since 2000.  Second, I will describe the operations of a competitive market and address issues related to the NPG’s allegations of market power.  Third, I will address the impact of the refund proponents’ failure to take actions that could have mitigated market (price) risk.  Finally, I will point out the shortcomings in the refund proponents’ methodology for calculating a just and reasonable price based on cost as the basis for refunds.</w:t>
      </w:r>
    </w:p>
    <w:p>
      <w:pPr>
        <w:pStyle w:val="Heading1"/>
        <w:ind w:hanging="0" w:start="0"/>
        <w:rPr>
          <w:rFonts w:ascii="Arial" w:hAnsi="Arial" w:cs="Arial"/>
        </w:rPr>
      </w:pPr>
      <w:r>
        <w:rPr>
          <w:rFonts w:cs="Arial" w:ascii="Arial" w:hAnsi="Arial"/>
        </w:rPr>
        <w:t>Refunds would send the wrong signals to the electricity market that is moving rapidly to institute measures that will prevent a reoccurance of the price spikes of 2000-01.</w:t>
      </w:r>
    </w:p>
    <w:p>
      <w:pPr>
        <w:pStyle w:val="NormalQuestion"/>
        <w:numPr>
          <w:ilvl w:val="0"/>
          <w:numId w:val="30"/>
        </w:numPr>
        <w:ind w:hanging="0" w:start="0"/>
        <w:rPr/>
      </w:pPr>
      <w:r>
        <w:rPr/>
        <w:t>Do you believe that refunds should be ordered in this proceeding?</w:t>
      </w:r>
    </w:p>
    <w:p>
      <w:pPr>
        <w:pStyle w:val="NormalAnswer"/>
        <w:numPr>
          <w:ilvl w:val="0"/>
          <w:numId w:val="43"/>
        </w:numPr>
        <w:rPr/>
      </w:pPr>
      <w:r>
        <w:rPr/>
        <w:t>No.  There has been no finding of fact in this proceeding that sellers have carried out any actions that would be considered unlawful.</w:t>
      </w:r>
    </w:p>
    <w:p>
      <w:pPr>
        <w:pStyle w:val="NormalQuestion"/>
        <w:numPr>
          <w:ilvl w:val="0"/>
          <w:numId w:val="30"/>
        </w:numPr>
        <w:ind w:hanging="0" w:start="0"/>
        <w:rPr/>
      </w:pPr>
      <w:r>
        <w:rPr/>
        <w:t>Under what conditions should the Commission order refunds?</w:t>
      </w:r>
    </w:p>
    <w:p>
      <w:pPr>
        <w:pStyle w:val="NormalAnswer"/>
        <w:numPr>
          <w:ilvl w:val="0"/>
          <w:numId w:val="36"/>
        </w:numPr>
        <w:rPr/>
      </w:pPr>
      <w:r>
        <w:rPr/>
        <w:t>Absent any finding of unlawful activity, refunds that “Monday morning quarterback” transactions between buyers and sellers are the equivalent of the government not telling the seller that there is a potential that a portion of its proceeds resulting from its business activities will be confiscated at a later date.  If regulators were to allow such refunds, the behavior of buyers, and in particular sellers, would be significantly altered.</w:t>
      </w:r>
    </w:p>
    <w:p>
      <w:pPr>
        <w:pStyle w:val="NormalQuestion"/>
        <w:numPr>
          <w:ilvl w:val="0"/>
          <w:numId w:val="30"/>
        </w:numPr>
        <w:ind w:hanging="0" w:start="0"/>
        <w:rPr/>
      </w:pPr>
      <w:r>
        <w:rPr/>
        <w:t>What do you mean by the regulators confiscating part of the proceeds from the sale of electricity?</w:t>
      </w:r>
    </w:p>
    <w:p>
      <w:pPr>
        <w:pStyle w:val="NormalAnswer"/>
        <w:numPr>
          <w:ilvl w:val="0"/>
          <w:numId w:val="35"/>
        </w:numPr>
        <w:rPr/>
      </w:pPr>
      <w:r>
        <w:rPr/>
        <w:t>Ordering refunds from the proceeds of a market that was otherwise responding to competitive forces is adverse regulatory intervention in a process that was producing the very signals that would prevent future price spikes.  Because the sellers did not know that the regulators might consider ordering refunds (confiscating proceeds), sellers did not factor in the costs that this risk presented when making power sale transactions.  After the fact confiscation will fundamentally alter the behavior of sellers in the future by forcing them to consider refund risk.</w:t>
      </w:r>
    </w:p>
    <w:p>
      <w:pPr>
        <w:pStyle w:val="NormalQuestion"/>
        <w:numPr>
          <w:ilvl w:val="0"/>
          <w:numId w:val="30"/>
        </w:numPr>
        <w:ind w:hanging="0" w:start="0"/>
        <w:rPr/>
      </w:pPr>
      <w:r>
        <w:rPr/>
        <w:t>What do you mean when you say a market that was responding to competitive forces?</w:t>
      </w:r>
    </w:p>
    <w:p>
      <w:pPr>
        <w:pStyle w:val="NormalAnswer"/>
        <w:numPr>
          <w:ilvl w:val="0"/>
          <w:numId w:val="15"/>
        </w:numPr>
        <w:rPr/>
      </w:pPr>
      <w:r>
        <w:rPr/>
        <w:t>The transactions that occurred in the PNW market from December 2000 through June 2001 were executed in a dynamic market that was incorporating changes in electricity supply and demand on a daily basis and producing the price signals that were vital to the industry participants in order to incent economic responses.</w:t>
      </w:r>
    </w:p>
    <w:p>
      <w:pPr>
        <w:pStyle w:val="NormalQuestion"/>
        <w:numPr>
          <w:ilvl w:val="0"/>
          <w:numId w:val="30"/>
        </w:numPr>
        <w:ind w:hanging="0" w:start="0"/>
        <w:rPr/>
      </w:pPr>
      <w:r>
        <w:rPr/>
        <w:t>What is the position of the TFG members regarding the bilateral spot market transactions that occurred in the PNW market between buyers and sellers of electricity from December 2000 through June 2001?</w:t>
      </w:r>
    </w:p>
    <w:p>
      <w:pPr>
        <w:pStyle w:val="NormalAnswer"/>
        <w:numPr>
          <w:ilvl w:val="0"/>
          <w:numId w:val="2"/>
        </w:numPr>
        <w:rPr/>
      </w:pPr>
      <w:r>
        <w:rPr/>
        <w:t>Refunds should not be ordered.  The bilateral spot market transactions for electric energy that took place between December 2000 through June 2001 were the result of negotiations between informed buyers and sellers.  Both buyer and seller knew market prices would reflect the continued concern about the unusually cold winter, the lack of precipitation to fuel hydropower generation in 2001, the uncertainties regarding the regulatory response to the western market situation, the fact that peak demand in the California and PNW had outstripped indigenous supply causing buyers to import power from other states, the fact that natural gas prices were at recent high levels increasing the cost of gas-fired generation (particularly in California), and the ongoing failure of regulators to encourage the rapid construction of new capacity in California and the PNW such that the potential for new sources of supply would not materialize rapidly.  The price signals sent to buyers and sellers in the spot market for electricity in the PNW are sufficiently strong to cause forces to be put into place that will change the structure and nature of the wholesale market so that the price spikes are unlikely to reoccur.</w:t>
      </w:r>
    </w:p>
    <w:p>
      <w:pPr>
        <w:pStyle w:val="NormalQuestion"/>
        <w:numPr>
          <w:ilvl w:val="0"/>
          <w:numId w:val="30"/>
        </w:numPr>
        <w:ind w:hanging="0" w:start="0"/>
        <w:rPr/>
      </w:pPr>
      <w:r>
        <w:rPr/>
        <w:t>What do you mean that forces will change the structure and nature of the market?</w:t>
      </w:r>
    </w:p>
    <w:p>
      <w:pPr>
        <w:pStyle w:val="NormalAnswer"/>
        <w:numPr>
          <w:ilvl w:val="0"/>
          <w:numId w:val="25"/>
        </w:numPr>
        <w:rPr/>
      </w:pPr>
      <w:r>
        <w:rPr/>
        <w:t>Absent refunds, the signals received by consumers of electricity have, according to Seattle City Light’s witness Paula Green and Tacoma Power’s witness Dolores Stegeman, already led to major reductions in electricity demand in the PNW.  These witnesses report that consumers and the utility have been encouraged to:  1) Defer expenses that are not directly related to enhancing system performance or encouraging energy conservation; 2) Install additional generation or examine ways to lower the cost of existing generation; 3) Engage in the widespread education of consumers regarding energy conservation and energy-saving devices; and 4) Make major changes to the utility’s risk management strategy, including implementing a more pro-active hedging program for native load requirements.  All of this was stimulated by the higher electricity prices and higher rates paid by consumers.</w:t>
      </w:r>
    </w:p>
    <w:p>
      <w:pPr>
        <w:pStyle w:val="NormalAnswer"/>
        <w:numPr>
          <w:ilvl w:val="0"/>
          <w:numId w:val="0"/>
        </w:numPr>
        <w:ind w:hanging="0" w:start="0"/>
        <w:rPr/>
      </w:pPr>
      <w:r>
        <w:rPr/>
        <w:t>If the Commission orders refunds, then neither the utility nor its customers will retain the incentive to carry out these actions, each of which reduces the probability that the price spikes that were observed in 2000 and 2001 will ever reoccur again.  With refunds, the utilities and their customers may respond to future constrained supplies and price spikes by filing complaints with the Commission, rather than reducing demand and increasing supply.  Substituting refunds for action on the part of utilities and their customers will result in a misapplication of sound regulatory policy and an economically inefficient allocation of resources.  Moreover, as Powerex’s witness Dr. Richard Tabors notes, ordering refunds would produce an outcome whereby the refund proponents are able to gain refunds during a period when they are net purchasers and still reap the benefits of selling at market prices in summer months when they are typically net sellers.</w:t>
      </w:r>
    </w:p>
    <w:p>
      <w:pPr>
        <w:pStyle w:val="NormalQuestion"/>
        <w:numPr>
          <w:ilvl w:val="0"/>
          <w:numId w:val="30"/>
        </w:numPr>
        <w:ind w:hanging="0" w:start="0"/>
        <w:rPr/>
      </w:pPr>
      <w:r>
        <w:rPr/>
        <w:t>If the Commission orders refunds, would that have other detrimental effects on the electricity market?</w:t>
      </w:r>
    </w:p>
    <w:p>
      <w:pPr>
        <w:pStyle w:val="NormalAnswer"/>
        <w:numPr>
          <w:ilvl w:val="0"/>
          <w:numId w:val="26"/>
        </w:numPr>
        <w:rPr/>
      </w:pPr>
      <w:r>
        <w:rPr/>
        <w:t>Yes.  Refunds amount to retroactive price setting and the replacement of negotiated prices between buyers and sellers with regulated rates.  Traders and sellers of electricity would take the possibility of retroactive pricing by regulators into account in every trade, in every market, from the day refunds are ordered in this case.  Not only would this cause some traders/sellers to exit the market – thus reducing the absolute number of sellers and potentially raising electricity prices – but the deals that were done on a going-forward basis would reflect an “adder” for regulatory risk that would be seen throughout the country, not just in the PNW, leading to higher electricity prices nationwide.</w:t>
      </w:r>
    </w:p>
    <w:p>
      <w:pPr>
        <w:pStyle w:val="Heading1"/>
        <w:ind w:hanging="0" w:start="0"/>
        <w:rPr>
          <w:rFonts w:ascii="Arial" w:hAnsi="Arial" w:cs="Arial"/>
        </w:rPr>
      </w:pPr>
      <w:r>
        <w:rPr>
          <w:rFonts w:cs="Arial" w:ascii="Arial" w:hAnsi="Arial"/>
        </w:rPr>
        <w:t>The pacific northwest electricity marketplace is competitive</w:t>
      </w:r>
    </w:p>
    <w:p>
      <w:pPr>
        <w:pStyle w:val="NormalQuestion"/>
        <w:numPr>
          <w:ilvl w:val="0"/>
          <w:numId w:val="30"/>
        </w:numPr>
        <w:ind w:hanging="0" w:start="0"/>
        <w:rPr/>
      </w:pPr>
      <w:r>
        <w:rPr/>
        <w:t>Please describe the basic conditions for a workably competitive marketplace.</w:t>
      </w:r>
    </w:p>
    <w:p>
      <w:pPr>
        <w:pStyle w:val="NormalAnswer"/>
        <w:numPr>
          <w:ilvl w:val="0"/>
          <w:numId w:val="20"/>
        </w:numPr>
        <w:rPr/>
      </w:pPr>
      <w:r>
        <w:rPr/>
        <w:t>The classic definition of a competitive market relies on the interaction of many informed buyers and sellers such that no single buyer or seller can institute and profitably sustain a significant increase in price.  At any point in time, buyers and sellers of electric energy and capacity can negotiate using centrally administered exchanges or bilateral contracts, thus establishing the market price of electricity at various trading/delivery points like the California-Oregon border (COB) or the Mid-Columbia River (Mid-C).  Those prices then provide the signals that are necessary for investors to decide when and where new supplies should be brought on line.  Those same prices are observed by electricity users to judge their use or conservation of electric energy.</w:t>
      </w:r>
    </w:p>
    <w:p>
      <w:pPr>
        <w:pStyle w:val="NormalQuestion"/>
        <w:numPr>
          <w:ilvl w:val="0"/>
          <w:numId w:val="30"/>
        </w:numPr>
        <w:ind w:hanging="0" w:start="0"/>
        <w:rPr/>
      </w:pPr>
      <w:r>
        <w:rPr/>
        <w:t xml:space="preserve">Does electricity trade in the Pacific Northwest exhibit the characteristics associated with workable competition? </w:t>
      </w:r>
    </w:p>
    <w:p>
      <w:pPr>
        <w:pStyle w:val="NormalAnswer"/>
        <w:numPr>
          <w:ilvl w:val="0"/>
          <w:numId w:val="10"/>
        </w:numPr>
        <w:rPr/>
      </w:pPr>
      <w:r>
        <w:rPr/>
        <w:t>Yes.</w:t>
      </w:r>
    </w:p>
    <w:p>
      <w:pPr>
        <w:pStyle w:val="NormalQuestion"/>
        <w:numPr>
          <w:ilvl w:val="0"/>
          <w:numId w:val="30"/>
        </w:numPr>
        <w:ind w:hanging="0" w:start="0"/>
        <w:rPr/>
      </w:pPr>
      <w:r>
        <w:rPr/>
        <w:t>Please describe how  competition results in the economically efficient distribution of goods such as electric power.</w:t>
      </w:r>
    </w:p>
    <w:p>
      <w:pPr>
        <w:pStyle w:val="NormalAnswer"/>
        <w:numPr>
          <w:ilvl w:val="0"/>
          <w:numId w:val="16"/>
        </w:numPr>
        <w:rPr/>
      </w:pPr>
      <w:r>
        <w:rPr/>
        <w:t>In general, an economically efficient outcome is one in which goods are distributed to their most-valued use.  In an economically efficient outcome, (1) those consumers who value a good the most receive it;</w:t>
      </w:r>
      <w:r>
        <w:rPr>
          <w:rStyle w:val="FootnoteCharacters"/>
          <w:rStyle w:val="FootnoteReference"/>
        </w:rPr>
        <w:footnoteReference w:id="3"/>
      </w:r>
      <w:r>
        <w:rPr/>
        <w:t xml:space="preserve"> (2) total production cost of the good is minimized; and (3) investment is stimulated when the expected benefits associated with an investment exceed the investment’s costs. </w:t>
      </w:r>
    </w:p>
    <w:p>
      <w:pPr>
        <w:pStyle w:val="NormalQuestion"/>
        <w:numPr>
          <w:ilvl w:val="0"/>
          <w:numId w:val="30"/>
        </w:numPr>
        <w:ind w:hanging="0" w:start="0"/>
        <w:rPr/>
      </w:pPr>
      <w:r>
        <w:rPr/>
        <w:t>Can you provide a simple example of the efficient consumption of goods by consumers?</w:t>
      </w:r>
    </w:p>
    <w:p>
      <w:pPr>
        <w:pStyle w:val="NormalAnswer"/>
        <w:numPr>
          <w:ilvl w:val="0"/>
          <w:numId w:val="0"/>
        </w:numPr>
        <w:ind w:hanging="720" w:start="0" w:end="0"/>
        <w:rPr/>
      </w:pPr>
      <w:r>
        <w:rPr/>
        <w:t>A.</w:t>
        <w:tab/>
        <w:t>Yes.  Suppose that the owner of an apple orchard in one region sells his entire daily production at $5 per bushel.  Now suppose the owner of an apple orchard in a neighboring region is successfully selling the same variety of apples at $7 per bushel.  If at least some people are willing to pay $7 per bushel for the same apples (that is, they value the apples at least $7 per bushel), economists would expect to see the first farmer raise his price to $7 per bushel, so that at least a portion of his daily production will be sold at a higher price.  This outcome is economically efficient because some buyers value the apples more highly than the buyers who willingly paid $5 per bushel.</w:t>
      </w:r>
    </w:p>
    <w:p>
      <w:pPr>
        <w:pStyle w:val="NormalQuestion"/>
        <w:numPr>
          <w:ilvl w:val="0"/>
          <w:numId w:val="30"/>
        </w:numPr>
        <w:ind w:hanging="0" w:start="0"/>
        <w:rPr/>
      </w:pPr>
      <w:r>
        <w:rPr/>
        <w:t>Why is it economically efficient for a product to be allocated to its highest-valued use?</w:t>
      </w:r>
    </w:p>
    <w:p>
      <w:pPr>
        <w:pStyle w:val="NormalAnswer"/>
        <w:numPr>
          <w:ilvl w:val="0"/>
          <w:numId w:val="9"/>
        </w:numPr>
        <w:rPr/>
      </w:pPr>
      <w:r>
        <w:rPr/>
        <w:t>Economic theory holds that when a product is allocated from a lower-valued use to a higher-valued use, total social welfare is increased.  For example, if one person values a bushel of apples at $7, and another person owns and values the same bushel at $5, both will be made better off if the first person buys the bushel from the second person for, say, $6 – that is, both persons are $1 better off than if the trade had not taken place.</w:t>
      </w:r>
    </w:p>
    <w:p>
      <w:pPr>
        <w:pStyle w:val="NormalQuestion"/>
        <w:numPr>
          <w:ilvl w:val="0"/>
          <w:numId w:val="30"/>
        </w:numPr>
        <w:ind w:hanging="0" w:start="0"/>
        <w:rPr/>
      </w:pPr>
      <w:r>
        <w:rPr/>
        <w:t>How do you know that at a point in time some buyers value the apples more highly than other buyers?</w:t>
      </w:r>
    </w:p>
    <w:p>
      <w:pPr>
        <w:pStyle w:val="NormalAnswer"/>
        <w:numPr>
          <w:ilvl w:val="0"/>
          <w:numId w:val="42"/>
        </w:numPr>
        <w:rPr/>
      </w:pPr>
      <w:r>
        <w:rPr/>
        <w:t>Because they willingly paid a higher price for the apples.</w:t>
      </w:r>
    </w:p>
    <w:p>
      <w:pPr>
        <w:pStyle w:val="NormalQuestion"/>
        <w:numPr>
          <w:ilvl w:val="0"/>
          <w:numId w:val="30"/>
        </w:numPr>
        <w:ind w:hanging="0" w:start="0"/>
        <w:rPr/>
      </w:pPr>
      <w:r>
        <w:rPr/>
        <w:t>But what about the buyers that were not willing to pay $7 per bushel, do they go without apples?</w:t>
      </w:r>
    </w:p>
    <w:p>
      <w:pPr>
        <w:pStyle w:val="NormalAnswer"/>
        <w:numPr>
          <w:ilvl w:val="0"/>
          <w:numId w:val="4"/>
        </w:numPr>
        <w:rPr/>
      </w:pPr>
      <w:r>
        <w:rPr/>
        <w:t>No.  The higher price will simply encourage some buyers to conserve apple use.</w:t>
      </w:r>
      <w:r>
        <w:rPr>
          <w:rStyle w:val="FootnoteCharacters"/>
          <w:rStyle w:val="FootnoteReference"/>
        </w:rPr>
        <w:footnoteReference w:id="4"/>
      </w:r>
      <w:r>
        <w:rPr/>
        <w:t xml:space="preserve">  These buyers will still consume apples.  However, unless they allocate more money to apple purchases, some buyers will find themselves using fewer apples than when the price was $5 per bushel.</w:t>
      </w:r>
    </w:p>
    <w:p>
      <w:pPr>
        <w:pStyle w:val="NormalQuestion"/>
        <w:numPr>
          <w:ilvl w:val="0"/>
          <w:numId w:val="30"/>
        </w:numPr>
        <w:ind w:hanging="0" w:start="0"/>
        <w:rPr/>
      </w:pPr>
      <w:r>
        <w:rPr/>
        <w:t>In the context of this example, can you explain what stimulates efficient investment?</w:t>
      </w:r>
    </w:p>
    <w:p>
      <w:pPr>
        <w:pStyle w:val="NormalAnswer"/>
        <w:numPr>
          <w:ilvl w:val="0"/>
          <w:numId w:val="19"/>
        </w:numPr>
        <w:rPr/>
      </w:pPr>
      <w:r>
        <w:rPr/>
        <w:t xml:space="preserve">Yes.  If goods are allocated efficiently, then new investments should be made only if the benefit of the investment exceeds its cost.  For example, suppose that despite the fact that customers willingly pay $7 per bushel for apples, the costs of putting additional acreage into apple production is $6 per bushel.  That means when apples were selling for $5 per bushel, farmers could not efficiently invest in added production.  However, now that the regional price is $7 per bushel, a farmer would have an incentive to put more acreage into apple production.  As more acreage is committed to apple production, competition among apple sellers will drive the price per bushel of apples toward the cost of producing the last bushel of apples, or $6 per bushel. </w:t>
      </w:r>
    </w:p>
    <w:p>
      <w:pPr>
        <w:pStyle w:val="NormalQuestion"/>
        <w:numPr>
          <w:ilvl w:val="0"/>
          <w:numId w:val="30"/>
        </w:numPr>
        <w:ind w:hanging="0" w:start="0"/>
        <w:rPr/>
      </w:pPr>
      <w:r>
        <w:rPr/>
        <w:t>Are there economic principles regarding competitive markets and economic efficiency that can be summarized from this example?</w:t>
      </w:r>
    </w:p>
    <w:p>
      <w:pPr>
        <w:pStyle w:val="NormalAnswer"/>
        <w:numPr>
          <w:ilvl w:val="0"/>
          <w:numId w:val="13"/>
        </w:numPr>
        <w:rPr/>
      </w:pPr>
      <w:r>
        <w:rPr/>
        <w:t>Yes.  Although this description is somewhat simplified, there are two general principles that should be met to achieve efficiency.  First, it should never be the case that a consumer who values the product more than another does not obtain the product while the other consumer does.  Second, assuming the first principle is met, it should never be the case that an expansion of output occurs if the incremental value of the additional consumption is below the incremental cost of the additional capacity.</w:t>
      </w:r>
    </w:p>
    <w:p>
      <w:pPr>
        <w:pStyle w:val="NormalQuestion"/>
        <w:numPr>
          <w:ilvl w:val="0"/>
          <w:numId w:val="30"/>
        </w:numPr>
        <w:ind w:hanging="0" w:start="0"/>
        <w:rPr/>
      </w:pPr>
      <w:r>
        <w:rPr/>
        <w:t>Does the description of economically efficient competition apply in this case before the Commission?</w:t>
      </w:r>
    </w:p>
    <w:p>
      <w:pPr>
        <w:pStyle w:val="NormalAnswer"/>
        <w:numPr>
          <w:ilvl w:val="0"/>
          <w:numId w:val="38"/>
        </w:numPr>
        <w:rPr/>
      </w:pPr>
      <w:r>
        <w:rPr/>
        <w:t>Yes.  The spot market in the Pacific Northwest seeks to promote these principles of economic efficiency.</w:t>
      </w:r>
      <w:r>
        <w:rPr>
          <w:rStyle w:val="FootnoteCharacters"/>
          <w:rStyle w:val="FootnoteReference"/>
        </w:rPr>
        <w:footnoteReference w:id="5"/>
      </w:r>
      <w:r>
        <w:rPr/>
        <w:t xml:space="preserve">  In particular, the parties that trade electricity in the Pacific Northwest recognize that the breadth of their marketplace is large (assuming that transmission constraints are minimal).</w:t>
      </w:r>
      <w:r>
        <w:rPr>
          <w:rStyle w:val="FootnoteCharacters"/>
          <w:rStyle w:val="FootnoteReference"/>
        </w:rPr>
        <w:footnoteReference w:id="6"/>
      </w:r>
      <w:r>
        <w:rPr/>
        <w:t xml:space="preserve">  Therefore, enabling transactions and exchanges of electrical energy provide benefits in the form of welfare-increasing transactions, with the forces of competition working to narrow price differentials over a large area, absent any transmission constraints.  As with the apple example I described above, these higher prices reflect the highest value consumers place on the supply of electricity in the marketplace.</w:t>
      </w:r>
    </w:p>
    <w:p>
      <w:pPr>
        <w:pStyle w:val="NormalQuestion"/>
        <w:numPr>
          <w:ilvl w:val="0"/>
          <w:numId w:val="30"/>
        </w:numPr>
        <w:ind w:hanging="0" w:start="0"/>
        <w:rPr/>
      </w:pPr>
      <w:r>
        <w:rPr/>
        <w:t>Do these rules apply to the distribution of bulk power supplies in the Pacific Northwest?</w:t>
      </w:r>
    </w:p>
    <w:p>
      <w:pPr>
        <w:pStyle w:val="NormalAnswer"/>
        <w:numPr>
          <w:ilvl w:val="0"/>
          <w:numId w:val="6"/>
        </w:numPr>
        <w:rPr/>
      </w:pPr>
      <w:r>
        <w:rPr/>
        <w:t xml:space="preserve">Yes.  As we have observed, when electrical capacity is valued more highly in one place than another, an efficient outcome requires that the capacity be sold at the price that values it more highly.  Also, if one region is willing to pay for electrical capacity at a given price, and an adjacent region also desires access to similarly situated supplies, then it is economically efficient for both regions to bid up prices until the supply is fully distributed among buyers </w:t>
      </w:r>
      <w:r>
        <w:rPr>
          <w:u w:val="single"/>
        </w:rPr>
        <w:t>irrespective</w:t>
      </w:r>
      <w:r>
        <w:rPr/>
        <w:t xml:space="preserve"> of the marginal cost of generation at that point in time.</w:t>
      </w:r>
      <w:r>
        <w:rPr>
          <w:rStyle w:val="FootnoteCharacters"/>
          <w:rStyle w:val="FootnoteReference"/>
        </w:rPr>
        <w:footnoteReference w:id="7"/>
      </w:r>
      <w:r>
        <w:rPr/>
        <w:t xml:space="preserve">  </w:t>
      </w:r>
    </w:p>
    <w:p>
      <w:pPr>
        <w:pStyle w:val="NormalQuestion"/>
        <w:numPr>
          <w:ilvl w:val="0"/>
          <w:numId w:val="30"/>
        </w:numPr>
        <w:ind w:hanging="0" w:start="0"/>
        <w:rPr/>
      </w:pPr>
      <w:r>
        <w:rPr/>
        <w:t>What do you mean “irrespective of the marginal cost of generation?”</w:t>
      </w:r>
    </w:p>
    <w:p>
      <w:pPr>
        <w:pStyle w:val="NormalAnswer"/>
        <w:numPr>
          <w:ilvl w:val="0"/>
          <w:numId w:val="6"/>
        </w:numPr>
        <w:rPr/>
      </w:pPr>
      <w:r>
        <w:rPr/>
        <w:t>Witnesses McCullough on behalf of Seattle City Light, and Movish on behalf of the City of Tacoma and the Port of Seattle, have argued that the price to be used for refunds in this matter ought to be directly linked to the cost of generation from the last unit dispatched.  While witnesses fail to agree on just which unit ought to constitute the last unit used to generate electricity at any point in time, they insist that economically sound regulatory policy be based on the principle that price is linked to generation cost.  There is simply no support for this notion of “retroactive cost-based pricing”, either from the standpoint of economic theory, sound business practices or regulatory policy.</w:t>
      </w:r>
    </w:p>
    <w:p>
      <w:pPr>
        <w:pStyle w:val="NormalQuestion"/>
        <w:numPr>
          <w:ilvl w:val="0"/>
          <w:numId w:val="30"/>
        </w:numPr>
        <w:ind w:hanging="0" w:start="0"/>
        <w:rPr/>
      </w:pPr>
      <w:r>
        <w:rPr/>
        <w:t>Why not?</w:t>
      </w:r>
    </w:p>
    <w:p>
      <w:pPr>
        <w:pStyle w:val="NormalAnswer"/>
        <w:numPr>
          <w:ilvl w:val="0"/>
          <w:numId w:val="31"/>
        </w:numPr>
        <w:rPr/>
      </w:pPr>
      <w:r>
        <w:rPr/>
        <w:t>Negotiations that result in the economically efficient allocation of electrical capacity to its highest valued use could easily lead to a price well in excess of the incremental cost of generation.  If a seller is willing to provide large amounts of prompt power today, economists would expect a buyer with native load requirements to be willing to pay a higher price per MWh than the cost of production if necessary to be sure that the capacity is not bid away by another buyer.  It is this “demand response” that works to establish a price that balances supply and demand.</w:t>
      </w:r>
    </w:p>
    <w:p>
      <w:pPr>
        <w:pStyle w:val="NormalQuestion"/>
        <w:numPr>
          <w:ilvl w:val="0"/>
          <w:numId w:val="30"/>
        </w:numPr>
        <w:ind w:hanging="0" w:start="0"/>
        <w:rPr/>
      </w:pPr>
      <w:r>
        <w:rPr/>
        <w:t>Is that an example of seller market power?</w:t>
      </w:r>
    </w:p>
    <w:p>
      <w:pPr>
        <w:pStyle w:val="NormalAnswer"/>
        <w:numPr>
          <w:ilvl w:val="0"/>
          <w:numId w:val="32"/>
        </w:numPr>
        <w:rPr/>
      </w:pPr>
      <w:r>
        <w:rPr/>
        <w:t xml:space="preserve">No.  It is an example of a workably competitive market where the right price signals are sent to various market participants.  The buyer is encouraged not to get “caught short” and to rethink its approach to meeting peak demands.  Other sellers/investors were signaled, too.  Profits earned in excess of incremental costs in a workably competitive market always encourage others to try and capture some of those economic profits by adding capacity, adjusting facility maintenance schedules, contracting for additional capacity, etc. </w:t>
      </w:r>
    </w:p>
    <w:p>
      <w:pPr>
        <w:pStyle w:val="NormalQuestion"/>
        <w:numPr>
          <w:ilvl w:val="0"/>
          <w:numId w:val="30"/>
        </w:numPr>
        <w:ind w:hanging="0" w:start="0"/>
        <w:rPr/>
      </w:pPr>
      <w:r>
        <w:rPr/>
        <w:t>Is there evidence that the principles of a workably competitive market have prevailed in the Northwest?</w:t>
      </w:r>
    </w:p>
    <w:p>
      <w:pPr>
        <w:pStyle w:val="NormalAnswer"/>
        <w:numPr>
          <w:ilvl w:val="0"/>
          <w:numId w:val="34"/>
        </w:numPr>
        <w:rPr/>
      </w:pPr>
      <w:r>
        <w:rPr/>
        <w:t>Yes, after years of abundant generation capacity that caused prices to remain low,</w:t>
      </w:r>
      <w:r>
        <w:rPr>
          <w:rStyle w:val="FootnoteCharacters"/>
        </w:rPr>
        <w:t xml:space="preserve"> </w:t>
      </w:r>
      <w:r>
        <w:rPr>
          <w:rStyle w:val="FootnoteCharacters"/>
          <w:rStyle w:val="FootnoteReference"/>
        </w:rPr>
        <w:footnoteReference w:id="8"/>
      </w:r>
      <w:r>
        <w:rPr/>
        <w:t xml:space="preserve"> the market began to change in the late 1990s as continued growth in electricity demand began to “bump against” the ability of low-cost generators to meet peak load requirements at existing prices.  As consumers demanded more electric energy – expecting prices to remain low – low-cost sources of supply were absorbed causing higher cost capacity to be called on to serve peak loads and prices to rise.  This price increase was exacerbated in 2000-2001 by a number of exogenous factors (low water levels and weather) and a series of missteps by the utilities themselves.</w:t>
      </w:r>
    </w:p>
    <w:p>
      <w:pPr>
        <w:pStyle w:val="NormalQuestion"/>
        <w:numPr>
          <w:ilvl w:val="0"/>
          <w:numId w:val="30"/>
        </w:numPr>
        <w:ind w:hanging="0" w:start="0"/>
        <w:rPr/>
      </w:pPr>
      <w:r>
        <w:rPr/>
        <w:t>Is it possible for sellers in a competitive market to sustain price increases over time?</w:t>
      </w:r>
    </w:p>
    <w:p>
      <w:pPr>
        <w:pStyle w:val="NormalAnswer"/>
        <w:numPr>
          <w:ilvl w:val="0"/>
          <w:numId w:val="34"/>
        </w:numPr>
        <w:rPr/>
      </w:pPr>
      <w:r>
        <w:rPr/>
        <w:t>No.  As prices increased during 2000-2001, investor/suppliers responded, proposing new capacity additions as shown in Exhibit STJ-3.  On the demand side of the price signal, consumers went to work, reducing energy use and adopting conservation techniques, such as installing energy-saving devices even as weather conditions returned to normal.  As a consequence of this competitive response, prices for electricity in the PNW have fallen dramatically, as shown in Exhibits STJ-4 and STJ-5.</w:t>
      </w:r>
    </w:p>
    <w:p>
      <w:pPr>
        <w:pStyle w:val="NormalQuestion"/>
        <w:numPr>
          <w:ilvl w:val="0"/>
          <w:numId w:val="30"/>
        </w:numPr>
        <w:ind w:hanging="0" w:start="0"/>
        <w:rPr/>
      </w:pPr>
      <w:r>
        <w:rPr/>
        <w:t>If a seller can sustain prices above the marginal cost of production for a short period of time, say a few weeks or months, does that constitute an act of market power that regulators ought to penalize?</w:t>
      </w:r>
    </w:p>
    <w:p>
      <w:pPr>
        <w:pStyle w:val="NormalAnswer"/>
        <w:numPr>
          <w:ilvl w:val="0"/>
          <w:numId w:val="29"/>
        </w:numPr>
        <w:rPr/>
      </w:pPr>
      <w:r>
        <w:rPr/>
        <w:t>No.  That is “transitory” market power that is unsustainable and a natural part of most industries where the seller produces industrial products and/or the cost to enter that industry takes considerable time and money.  The purchase and sale of these goods can become subject to periods of considerable over- and under-supply, simply because added production cannot be adjusted fast enough to meet current demand.  Electricity is a good example of a market where added capacity cannot be brought on-line rapidly under all conditions.  However, as the prices rise, a strong signal is sent to all prospective producers to add capacity and to all consumers to reduce demand.  If the regulator were to intervene during the period when the price signal is alerting potential sellers to the new opportunity, intervention would be harmful, reducing the effect of the signal and creating added risk for any competitor considering adding capacity.</w:t>
      </w:r>
    </w:p>
    <w:p>
      <w:pPr>
        <w:pStyle w:val="NormalQuestion"/>
        <w:numPr>
          <w:ilvl w:val="0"/>
          <w:numId w:val="30"/>
        </w:numPr>
        <w:ind w:hanging="0" w:start="0"/>
        <w:rPr/>
      </w:pPr>
      <w:r>
        <w:rPr/>
        <w:t>Do these sorts of price spikes occur in other energy industries?</w:t>
      </w:r>
    </w:p>
    <w:p>
      <w:pPr>
        <w:pStyle w:val="NormalAnswer"/>
        <w:numPr>
          <w:ilvl w:val="0"/>
          <w:numId w:val="7"/>
        </w:numPr>
        <w:rPr/>
      </w:pPr>
      <w:r>
        <w:rPr/>
        <w:t>Yes.  Indeed, in the summer of 2000 gasoline prices in the Midwest, especially in the Chicago area, experienced spikes.  These were partly due to weather, demand and pipeline transportation constraints.  In response to the price spikes, gasoline suppliers took action to increase supplies to the region, even temporarily reversing flows on certain gasoline transportation pipelines.  These actions are evidence that price spikes attract the attention of competitors, and that competitive response was noted in the Federal Trade Commission’s (FTC) report on its investigation of the price spikes.  In particular, the FTC notes in its report that although there was a significant transitory spike in gasoline prices, these price spikes are the signals that are required to either cause a reduction in demand or an increase in supplies.</w:t>
      </w:r>
      <w:r>
        <w:rPr>
          <w:rStyle w:val="FootnoteCharacters"/>
          <w:rStyle w:val="FootnoteReference"/>
        </w:rPr>
        <w:footnoteReference w:id="9"/>
      </w:r>
    </w:p>
    <w:p>
      <w:pPr>
        <w:pStyle w:val="Heading1"/>
        <w:ind w:hanging="0" w:start="0"/>
        <w:rPr>
          <w:rFonts w:ascii="Arial" w:hAnsi="Arial" w:cs="Arial"/>
        </w:rPr>
      </w:pPr>
      <w:r>
        <w:rPr>
          <w:rFonts w:cs="Arial" w:ascii="Arial" w:hAnsi="Arial"/>
        </w:rPr>
        <w:t>There is No showing that prices for electric energy and capacity were set in the pacific northwest by anything other than competitive forces.</w:t>
      </w:r>
    </w:p>
    <w:p>
      <w:pPr>
        <w:pStyle w:val="NormalQuestion"/>
        <w:numPr>
          <w:ilvl w:val="0"/>
          <w:numId w:val="30"/>
        </w:numPr>
        <w:ind w:hanging="0" w:start="0"/>
        <w:rPr/>
      </w:pPr>
      <w:r>
        <w:rPr/>
        <w:t>Can you summarize the NPG’s argument with respect to market power?</w:t>
      </w:r>
    </w:p>
    <w:p>
      <w:pPr>
        <w:pStyle w:val="NormalAnswer"/>
        <w:numPr>
          <w:ilvl w:val="0"/>
          <w:numId w:val="30"/>
        </w:numPr>
        <w:ind w:hanging="0" w:start="0"/>
        <w:rPr/>
      </w:pPr>
      <w:r>
        <w:rPr/>
        <w:t>Yes.  While several witnesses opine on the existence of market power and its extent in the PNW, Professor Wolak’s testimony is perhaps the most concise.  Professor Wolak makes the following points:</w:t>
      </w:r>
    </w:p>
    <w:p>
      <w:pPr>
        <w:pStyle w:val="Normal"/>
        <w:numPr>
          <w:ilvl w:val="0"/>
          <w:numId w:val="3"/>
        </w:numPr>
        <w:rPr>
          <w:rFonts w:ascii="Arial" w:hAnsi="Arial" w:cs="Arial"/>
        </w:rPr>
      </w:pPr>
      <w:r>
        <w:rPr>
          <w:rFonts w:cs="Arial" w:ascii="Arial" w:hAnsi="Arial"/>
        </w:rPr>
        <w:t>Assuming there is significant linkage between a spot electricity price and a forward electricity price, if there is an expectation that market power is being exercised when establishing the spot price, this market power will impact the level of the forward price;</w:t>
      </w:r>
    </w:p>
    <w:p>
      <w:pPr>
        <w:pStyle w:val="Normal"/>
        <w:numPr>
          <w:ilvl w:val="0"/>
          <w:numId w:val="3"/>
        </w:numPr>
        <w:rPr>
          <w:rFonts w:ascii="Arial" w:hAnsi="Arial" w:cs="Arial"/>
        </w:rPr>
      </w:pPr>
      <w:r>
        <w:rPr>
          <w:rFonts w:cs="Arial" w:ascii="Arial" w:hAnsi="Arial"/>
        </w:rPr>
        <w:t>The ability of sellers to exercise market power is limited to the time horizon necessary to produce a competitive outcome in the face of high electricity prices; and</w:t>
      </w:r>
    </w:p>
    <w:p>
      <w:pPr>
        <w:pStyle w:val="Normal"/>
        <w:numPr>
          <w:ilvl w:val="0"/>
          <w:numId w:val="3"/>
        </w:numPr>
        <w:rPr>
          <w:rFonts w:ascii="Arial" w:hAnsi="Arial" w:cs="Arial"/>
        </w:rPr>
      </w:pPr>
      <w:r>
        <w:rPr>
          <w:rFonts w:cs="Arial" w:ascii="Arial" w:hAnsi="Arial"/>
        </w:rPr>
        <w:t>At time horizons smaller than the time necessary to build and bring on-line new capacity, the set of firms that can supply electricity is significantly smaller than over the long run.</w:t>
      </w:r>
    </w:p>
    <w:p>
      <w:pPr>
        <w:pStyle w:val="NormalQuestion"/>
        <w:numPr>
          <w:ilvl w:val="0"/>
          <w:numId w:val="30"/>
        </w:numPr>
        <w:ind w:hanging="0" w:start="0"/>
        <w:rPr/>
      </w:pPr>
      <w:r>
        <w:rPr/>
        <w:t>What is wrong with Professor Wolak’s arguments regarding the presence and impact of market power on electricity prices in the PNW?</w:t>
      </w:r>
    </w:p>
    <w:p>
      <w:pPr>
        <w:pStyle w:val="NormalAnswer"/>
        <w:numPr>
          <w:ilvl w:val="0"/>
          <w:numId w:val="12"/>
        </w:numPr>
        <w:rPr/>
      </w:pPr>
      <w:r>
        <w:rPr/>
        <w:t xml:space="preserve">There are a number of problems with his testimony regarding market power.  First, while Professor Wolak’s notions of how market power might impact electricity prices in the PNW – or any other market for that matter – are partly consistent with economic principles, he has offered no proof in the form of hard evidence that the nature of the problem he outlines actually existed at any time from December 2000 through June 2001.  Second, Professor Wolak’s market power argument consists of several parts, each of which are fatal to his conclusions should any part prove unsustainable.  For example, in order for a seller with market power to institute and sustain a supra-normal electricity price increase, the number of actual and potential sellers has to be small </w:t>
      </w:r>
      <w:r>
        <w:rPr>
          <w:u w:val="single"/>
        </w:rPr>
        <w:t>and</w:t>
      </w:r>
      <w:r>
        <w:rPr/>
        <w:t xml:space="preserve"> one seller has to be large compared to all others.  This “dominant firm” thesis is theoretically possible, but very fragile as any participant, no matter what the size, has every incentive to reduce its price in order to sell more.  Moreover, this thesis requires considerable quantitative evidence to support, including evidence that all but the dominant firm cannot offer more energy and capacity to the marketplace over a significant period of time (i.e., Professor Wolak’s two-year time horizon).  Professor Wolak has failed to support any of the “pieces” to his market power theory.  Third, Professor Wolak states that the markets in the PNW are tainted with market power because of the close correspondence between price movements in California and the PNW.  Professor Wolak cites the efficient arbitrage between these regions as the cause for the elevated PNW electricity prices.  He supports this claim by illustrating “when prices in California reflected the exercise of market power, prices in the Pacific Northwest were at the same and often higher levels.”</w:t>
      </w:r>
      <w:r>
        <w:rPr>
          <w:rStyle w:val="FootnoteCharacters"/>
          <w:rStyle w:val="FootnoteReference"/>
        </w:rPr>
        <w:footnoteReference w:id="10"/>
      </w:r>
      <w:r>
        <w:rPr/>
        <w:t xml:space="preserve">  Of course, absent any hard evidence to support the existence of market power in the PNW (or California for that matter), Professor Wolak’s observations have an alternative and perfectly plausible explanation.  Market prices – both before, during and after the time horizon that is the subject of this proceeding – simply reflect the fact that the quantity of electric energy and capacity demanded frequently exceeded sellers’ ability to supply the full requirements of consumers at prices that prevailed earlier in the 1990s.  This is simply the expected outcome in a competitive market where increasingly scarce resources are being allocated to their highest value use through the negotiations of potential buyers and sellers.</w:t>
      </w:r>
      <w:r>
        <w:rPr>
          <w:rStyle w:val="FootnoteCharacters"/>
          <w:rStyle w:val="FootnoteReference"/>
        </w:rPr>
        <w:footnoteReference w:id="11"/>
      </w:r>
      <w:r>
        <w:rPr/>
        <w:t xml:space="preserve">  Professor Wolak simply describes the process I introduced earlier where the market is working to send the proper signals to all participants in the electricity market.</w:t>
      </w:r>
    </w:p>
    <w:p>
      <w:pPr>
        <w:pStyle w:val="NormalQuestion"/>
        <w:numPr>
          <w:ilvl w:val="0"/>
          <w:numId w:val="30"/>
        </w:numPr>
        <w:ind w:hanging="0" w:start="0"/>
        <w:rPr/>
      </w:pPr>
      <w:r>
        <w:rPr/>
        <w:t>Is the temporary appearance of very high electricity prices without precedent in the U.S. electricity market?</w:t>
      </w:r>
    </w:p>
    <w:p>
      <w:pPr>
        <w:pStyle w:val="NormalAnswer"/>
        <w:numPr>
          <w:ilvl w:val="0"/>
          <w:numId w:val="44"/>
        </w:numPr>
        <w:rPr/>
      </w:pPr>
      <w:r>
        <w:rPr/>
        <w:t>No.  In the summer of 1998 and again in the summer of 1999, mid-western electricity markets recorded prices well in excess of $1000/MWh (see Exhibit STJ-6).  The reasons for the high prices are well documented – including a thorough report by the FERC – which cited many of the same factors impacting the PNW like weather, missteps by utilities, etc.</w:t>
      </w:r>
      <w:r>
        <w:rPr>
          <w:rStyle w:val="FootnoteCharacters"/>
          <w:rStyle w:val="FootnoteReference"/>
        </w:rPr>
        <w:footnoteReference w:id="12"/>
      </w:r>
      <w:r>
        <w:rPr/>
        <w:t xml:space="preserve">  I might add that the FERC did not order refunds to utilities as a result of the price spikes during the summers of 1998 and 1999.  The FERC reported that the markets were working in a competitive manner and that the price signals would encourage both conservation and new investment to dramatically reduce the possibility of price spikes in the future.</w:t>
      </w:r>
      <w:r>
        <w:rPr>
          <w:rStyle w:val="FootnoteCharacters"/>
          <w:rStyle w:val="FootnoteReference"/>
        </w:rPr>
        <w:footnoteReference w:id="13"/>
      </w:r>
      <w:r>
        <w:rPr/>
        <w:t xml:space="preserve"> </w:t>
      </w:r>
    </w:p>
    <w:p>
      <w:pPr>
        <w:pStyle w:val="Heading1"/>
        <w:ind w:hanging="0" w:start="0"/>
        <w:rPr>
          <w:rFonts w:ascii="Arial" w:hAnsi="Arial" w:cs="Arial"/>
        </w:rPr>
      </w:pPr>
      <w:r>
        <w:rPr>
          <w:rFonts w:cs="Arial" w:ascii="Arial" w:hAnsi="Arial"/>
        </w:rPr>
        <w:t>Refund proponents are in significant part responsible for the allegedly excessive prices they paid for electricity.</w:t>
      </w:r>
    </w:p>
    <w:p>
      <w:pPr>
        <w:pStyle w:val="NormalQuestion"/>
        <w:numPr>
          <w:ilvl w:val="0"/>
          <w:numId w:val="30"/>
        </w:numPr>
        <w:ind w:hanging="0" w:start="0"/>
        <w:rPr/>
      </w:pPr>
      <w:r>
        <w:rPr/>
        <w:t>In your opinion, were members of the NPG “blind-sided” by the forces that produced the price spikes in the PNW between December 2000 and June 2001?</w:t>
      </w:r>
    </w:p>
    <w:p>
      <w:pPr>
        <w:pStyle w:val="NormalAnswer"/>
        <w:numPr>
          <w:ilvl w:val="0"/>
          <w:numId w:val="37"/>
        </w:numPr>
        <w:rPr/>
      </w:pPr>
      <w:r>
        <w:rPr/>
        <w:t>No.  The members of the NPG were active participants in the market.  Both Seattle City Light and Tacoma Power earned significant profits selling excess power into the California market in 2000.  As sellers into the California market, they knew how regulatory practice affected the purchase and sale of electricity there and how precarious the situation would be in the event of further shortages of supply.  Also, the fact that Seattle City Light and Tacoma Power each made an unusually large amount of money selling into the California market during the summer of 2000, should have alerted them to what might happen in the PNW if adverse weather conditions occurred during the upcoming winter.</w:t>
      </w:r>
      <w:r>
        <w:rPr>
          <w:rStyle w:val="FootnoteCharacters"/>
          <w:rStyle w:val="FootnoteReference"/>
        </w:rPr>
        <w:footnoteReference w:id="14"/>
      </w:r>
      <w:r>
        <w:rPr/>
        <w:t xml:space="preserve">  As noted by Professor Wolak, low water conditions are known in advance and impact electricity supply for more than one year.</w:t>
      </w:r>
      <w:r>
        <w:rPr>
          <w:rStyle w:val="FootnoteCharacters"/>
          <w:rStyle w:val="FootnoteReference"/>
        </w:rPr>
        <w:footnoteReference w:id="15"/>
      </w:r>
      <w:r>
        <w:rPr/>
        <w:t xml:space="preserve">  The utilities ought to have instituted adequate hedges against load requirements instead – apparently – of continuing to assume the capacity would be available on demand at lower prices.  Also, Ms. Stegeman notes that the relationship between the availability of incremental electricity capacity and the impact on electricity prices during periods of adverse weather or market conditions had been shown repeatedly for months prior to December 2000.</w:t>
      </w:r>
      <w:r>
        <w:rPr>
          <w:rStyle w:val="FootnoteCharacters"/>
          <w:rStyle w:val="FootnoteReference"/>
        </w:rPr>
        <w:footnoteReference w:id="16"/>
      </w:r>
      <w:r>
        <w:rPr/>
        <w:t xml:space="preserve">  Finally, the lack of concern regarding the ongoing availability of electric capacity at lower prices even led two of the refund proponents to make a conscious choice to dispose of generation capacity.</w:t>
      </w:r>
      <w:r>
        <w:rPr>
          <w:rStyle w:val="FootnoteCharacters"/>
          <w:rStyle w:val="FootnoteReference"/>
        </w:rPr>
        <w:footnoteReference w:id="17"/>
      </w:r>
      <w:r>
        <w:rPr/>
        <w:t xml:space="preserve">  Together, this evidence leads me to conclude that the members of the NPG mishandled their responsibilities to their customers and shareholders by failing to adequately hedge their exposure to price risk soon enough and in doing so, are partly responsible for the high prices paid for electricity December 2000-June 2001.</w:t>
      </w:r>
      <w:r>
        <w:rPr>
          <w:rStyle w:val="FootnoteCharacters"/>
          <w:rStyle w:val="FootnoteReference"/>
        </w:rPr>
        <w:footnoteReference w:id="18"/>
      </w:r>
    </w:p>
    <w:p>
      <w:pPr>
        <w:pStyle w:val="NormalQuestion"/>
        <w:numPr>
          <w:ilvl w:val="0"/>
          <w:numId w:val="30"/>
        </w:numPr>
        <w:ind w:hanging="0" w:start="0"/>
        <w:rPr/>
      </w:pPr>
      <w:r>
        <w:rPr/>
        <w:t>How could the NPG have reduced their exposure to price risk or otherwise mitigated the price risk facing their shareholders and customers?</w:t>
      </w:r>
    </w:p>
    <w:p>
      <w:pPr>
        <w:pStyle w:val="NormalAnswer"/>
        <w:numPr>
          <w:ilvl w:val="0"/>
          <w:numId w:val="11"/>
        </w:numPr>
        <w:rPr/>
      </w:pPr>
      <w:r>
        <w:rPr/>
        <w:t>The most common way to mitigate price risk as a buyer of electric energy or capacity is to contract for supplies at known terms and conditions.  The most common way to accomplish this is to enter into a (long term) power supply agreement (PSA) with an electric generator fixing the way prices are set and the quantities available as part of the terms and conditions of the agreement.  PSAs usually form the bedrock of a utility’s electricity supply after owned-generation and mandated contracts with non-utility generators.  Next in the spectrum of hedging tools is the forward contract for firm power.  Forward contracts for energy and capacity stipulate the amount of energy and capacity as well as the price, terms and conditions for physical delivery of electricity over the life of the contract.  Forward contracts are very flexible, but so commonplace that many of the paragraphs governing items like payment, force majeure, etc. are virtually identical from one set of agreements between buyers and sellers to the next.  As I noted above, Seattle City Light and Tacoma Power consciously elected to rely less on PSAs and forward contracts in the time period leading up to and including the observed increase in prices.</w:t>
      </w:r>
    </w:p>
    <w:p>
      <w:pPr>
        <w:pStyle w:val="NormalQuestion"/>
        <w:numPr>
          <w:ilvl w:val="0"/>
          <w:numId w:val="30"/>
        </w:numPr>
        <w:ind w:hanging="0" w:start="0"/>
        <w:rPr/>
      </w:pPr>
      <w:r>
        <w:rPr/>
        <w:t>Are there other tools utilities can use to reduce their exposure to price risk?</w:t>
      </w:r>
    </w:p>
    <w:p>
      <w:pPr>
        <w:pStyle w:val="NormalAnswer"/>
        <w:numPr>
          <w:ilvl w:val="0"/>
          <w:numId w:val="11"/>
        </w:numPr>
        <w:rPr/>
      </w:pPr>
      <w:r>
        <w:rPr/>
        <w:t xml:space="preserve">Yes.  Utilities exposed to volatility in electricity price/load can reduce risk without contracting for capacity.  Electricity options (on forward) contracts allow the holder to call on a fixed quantity of electricity on an as needed basis at a predetermined “strike” price in exchange for a small percentage of the ultimate cost of the electricity.  Options contracts are particularly useful in the event that a utility wants to hedge its exposure under scenarios that deal with unusual circumstances like very cold weather or low water levels or any other scenario that might result in a significant difference in the amount of electricity needed over periods of peak demand.  At a relatively small cost, a load serving entity can cover its requirements – not matter how diverse – without incurring additional price risk.  </w:t>
      </w:r>
    </w:p>
    <w:p>
      <w:pPr>
        <w:pStyle w:val="NormalQuestion"/>
        <w:numPr>
          <w:ilvl w:val="0"/>
          <w:numId w:val="30"/>
        </w:numPr>
        <w:ind w:hanging="0" w:start="0"/>
        <w:rPr/>
      </w:pPr>
      <w:r>
        <w:rPr/>
        <w:t>What about financial instruments for reducing electricity price risk?</w:t>
      </w:r>
    </w:p>
    <w:p>
      <w:pPr>
        <w:pStyle w:val="NormalAnswer"/>
        <w:numPr>
          <w:ilvl w:val="0"/>
          <w:numId w:val="11"/>
        </w:numPr>
        <w:rPr/>
      </w:pPr>
      <w:r>
        <w:rPr/>
        <w:t>In addition, there are financial instruments such as contracts that exchange fixed prices for floating prices and other exchange traded instruments that are designed to shield electricity purchasers from price risk.</w:t>
      </w:r>
    </w:p>
    <w:p>
      <w:pPr>
        <w:pStyle w:val="NormalQuestion"/>
        <w:numPr>
          <w:ilvl w:val="0"/>
          <w:numId w:val="30"/>
        </w:numPr>
        <w:ind w:hanging="0" w:start="0"/>
        <w:rPr/>
      </w:pPr>
      <w:r>
        <w:rPr/>
        <w:t>Are there other ways to reduce price risk?</w:t>
      </w:r>
    </w:p>
    <w:p>
      <w:pPr>
        <w:pStyle w:val="NormalAnswer"/>
        <w:numPr>
          <w:ilvl w:val="0"/>
          <w:numId w:val="41"/>
        </w:numPr>
        <w:rPr/>
      </w:pPr>
      <w:r>
        <w:rPr/>
        <w:t>Yes.  Since risk is symmetric – being long electricity when prices are low can be as hard on ratepayers and shareholders as being short capacity when prices begin to rise – changing the way an utility’s system is operated ought to correspond to any longer-term changes in the electricity marketplace.  If expectations about the supply and demand for electricity suggests that prices may be subject to increased price volatility for some time, utility engineers could be consulted to modify planned outages and other operational factors that can lower the amount of time any utility is exposed to price risk.</w:t>
      </w:r>
    </w:p>
    <w:p>
      <w:pPr>
        <w:pStyle w:val="NormalQuestion"/>
        <w:numPr>
          <w:ilvl w:val="0"/>
          <w:numId w:val="30"/>
        </w:numPr>
        <w:ind w:hanging="0" w:start="0"/>
        <w:rPr/>
      </w:pPr>
      <w:r>
        <w:rPr/>
        <w:t>Is exposure to price risk always a bad thing?</w:t>
      </w:r>
    </w:p>
    <w:p>
      <w:pPr>
        <w:pStyle w:val="NormalAnswer"/>
        <w:numPr>
          <w:ilvl w:val="0"/>
          <w:numId w:val="18"/>
        </w:numPr>
        <w:rPr/>
      </w:pPr>
      <w:r>
        <w:rPr/>
        <w:t>No.  Exposure to price risk comes about when a buyer or a seller of electricity discovers their position in the market is at least partly “naked” or exposed to future fluctuations in electricity prices.  Then, remaining exposed is usually not unintentional, but can be part of a very profitable, albeit somewhat risky strategy to benefit from dramatic changes in price.  The degree of acceptable exposure, over time, will correspond to the risk tolerance of the buyer or seller of electricity.  A risk adverse buyer or seller will not tolerate an exposed position.  However, both witnesses for Seattle City Light and Tacoma Power describe how their utility’s strategies include regular spot sales of surplus electricity for profit as a result of remaining exposed to fluctuations in the market during periods of surplus.</w:t>
      </w:r>
      <w:r>
        <w:rPr>
          <w:rStyle w:val="FootnoteCharacters"/>
          <w:rStyle w:val="FootnoteReference"/>
        </w:rPr>
        <w:footnoteReference w:id="19"/>
      </w:r>
    </w:p>
    <w:p>
      <w:pPr>
        <w:pStyle w:val="NormalQuestion"/>
        <w:numPr>
          <w:ilvl w:val="0"/>
          <w:numId w:val="30"/>
        </w:numPr>
        <w:ind w:hanging="0" w:start="0"/>
        <w:rPr/>
      </w:pPr>
      <w:r>
        <w:rPr/>
        <w:t>Did the NPG benefit during these periods of surplus?</w:t>
      </w:r>
    </w:p>
    <w:p>
      <w:pPr>
        <w:pStyle w:val="NormalAnswer"/>
        <w:numPr>
          <w:ilvl w:val="0"/>
          <w:numId w:val="45"/>
        </w:numPr>
        <w:rPr/>
      </w:pPr>
      <w:r>
        <w:rPr/>
        <w:t>Yes, as I noted earlier, some members of the NPG were able to “cash in” by purchasing power from the wholesale market when prices are low and selling the surplus power generated from storage water when prices are high.</w:t>
      </w:r>
      <w:r>
        <w:rPr>
          <w:rStyle w:val="FootnoteCharacters"/>
          <w:rStyle w:val="FootnoteReference"/>
        </w:rPr>
        <w:footnoteReference w:id="20"/>
      </w:r>
      <w:r>
        <w:rPr/>
        <w:t xml:space="preserve">  A presentation given by a Tacoma Power official indicates that Tacoma Power has enjoyed the good times created by surplus throughout the last decade.  From 1989 to 1995, rate adjustments were at or below inflation.  Moreover, the fact that Tacoma always made money by selling surplus power meant that Tacoma’s customers did not experience a single rate increase throughout the latter half of the 90s.</w:t>
      </w:r>
      <w:r>
        <w:rPr>
          <w:rStyle w:val="FootnoteCharacters"/>
          <w:rStyle w:val="FootnoteReference"/>
        </w:rPr>
        <w:footnoteReference w:id="21"/>
      </w:r>
      <w:r>
        <w:rPr/>
        <w:t xml:space="preserve">  Finally, the fact that Tacoma apparently was prepared to “ride-out” the high price period is reinforced by the observation that it did not begin to address the high price levels seriously until March of 2001.</w:t>
      </w:r>
      <w:r>
        <w:rPr>
          <w:rStyle w:val="FootnoteCharacters"/>
          <w:rStyle w:val="FootnoteReference"/>
        </w:rPr>
        <w:footnoteReference w:id="22"/>
      </w:r>
      <w:r>
        <w:rPr/>
        <w:t xml:space="preserve">  Indeed, members of the NPG seem to focus only on the “loss” side of the ledger—when they allegedly suffered from their failure to mitigate their risk.</w:t>
      </w:r>
    </w:p>
    <w:p>
      <w:pPr>
        <w:pStyle w:val="NormalQuestion"/>
        <w:numPr>
          <w:ilvl w:val="0"/>
          <w:numId w:val="30"/>
        </w:numPr>
        <w:ind w:hanging="0" w:start="0"/>
        <w:rPr/>
      </w:pPr>
      <w:r>
        <w:rPr/>
        <w:t>What do the NPG members want the Commission to conclude about their risk mitigation practices?</w:t>
      </w:r>
    </w:p>
    <w:p>
      <w:pPr>
        <w:pStyle w:val="NormalAnswer"/>
        <w:numPr>
          <w:ilvl w:val="0"/>
          <w:numId w:val="8"/>
        </w:numPr>
        <w:rPr/>
      </w:pPr>
      <w:r>
        <w:rPr/>
        <w:t>Based on the testimony of witnesses for Seattle City Light and Tacoma Power, it appears that the NPG would like the Commission to think that while they have since instituted risk mitigation strategies that include the use of forward contracts, power supply agreements with BPA, the construction of added generation facilities, internal cost reduction programs and various energy conservation programs aimed at reducing native peak loads, that these same actions could not have been implemented earlier, thus reducing (if not eliminating) the adverse effects of high prices from December 2000 through June 2001.  They have failed to demonstrate in their testimony that the programs and practices in place as a result of the high prices in 2000-2001 were even contemplated, let alone strongly considered prior to the summer of 2000.  However, I would add that I have experienced this lack of action before, particularly in the mid-western electricity markets where a combination of inexperience with the implementation of an effective risk mitigation strategy, unusual weather and unworkable regulatory policy led to the price spikes of 1998 and 1999 in those regions.</w:t>
      </w:r>
    </w:p>
    <w:p>
      <w:pPr>
        <w:pStyle w:val="NormalQuestion"/>
        <w:numPr>
          <w:ilvl w:val="0"/>
          <w:numId w:val="30"/>
        </w:numPr>
        <w:ind w:hanging="0" w:start="0"/>
        <w:rPr/>
      </w:pPr>
      <w:r>
        <w:rPr/>
        <w:t>What do you think caused the utilities to overlook their un-hedged positions?</w:t>
      </w:r>
    </w:p>
    <w:p>
      <w:pPr>
        <w:pStyle w:val="NormalAnswer"/>
        <w:numPr>
          <w:ilvl w:val="0"/>
          <w:numId w:val="24"/>
        </w:numPr>
        <w:rPr/>
      </w:pPr>
      <w:r>
        <w:rPr/>
        <w:t>It is hard to say except that years of complacency may have led those responsible to ignore the warnings that were made clear by the huge losses in the mid-west just two years earlier.  Scenarios where unusual weather or electricity demand ought to have been assessed, and the necessary actions taken to mitigate that price risk, could have been considered.  Members of the NPG enjoyed the benefits of market-based rates – they profited selling surplus power into the California and Desert Southwest markets – but they want the FERC to protect their downside by ordering refunds when they mishandled their purchase position in the market.  As I have stated earlier, this demand on the Commission is not only without precedent in the contemporary electricity market, but potentially very harmful to a much larger population of electricity producers, traders and consumers.</w:t>
      </w:r>
    </w:p>
    <w:p>
      <w:pPr>
        <w:pStyle w:val="Heading1"/>
        <w:ind w:hanging="0" w:start="0"/>
        <w:rPr>
          <w:rFonts w:ascii="Arial" w:hAnsi="Arial" w:cs="Arial"/>
        </w:rPr>
      </w:pPr>
      <w:r>
        <w:rPr>
          <w:rFonts w:cs="Arial" w:ascii="Arial" w:hAnsi="Arial"/>
        </w:rPr>
        <w:t>There is no separate just and reasonable price for the Pacific northwest.</w:t>
      </w:r>
    </w:p>
    <w:p>
      <w:pPr>
        <w:pStyle w:val="NormalQuestion"/>
        <w:numPr>
          <w:ilvl w:val="0"/>
          <w:numId w:val="30"/>
        </w:numPr>
        <w:ind w:hanging="0" w:start="0"/>
        <w:rPr/>
      </w:pPr>
      <w:r>
        <w:rPr/>
        <w:t>NPG witnesses have suggested that there should be a separately defined just and reasonable price established for the Pacific Northwest in this proceeding.</w:t>
      </w:r>
      <w:r>
        <w:rPr>
          <w:rStyle w:val="FootnoteCharacters"/>
          <w:rStyle w:val="FootnoteReference"/>
        </w:rPr>
        <w:footnoteReference w:id="23"/>
      </w:r>
      <w:r>
        <w:rPr/>
        <w:t xml:space="preserve">  Does this agree with sound economic theory?</w:t>
      </w:r>
    </w:p>
    <w:p>
      <w:pPr>
        <w:pStyle w:val="NormalAnswer"/>
        <w:numPr>
          <w:ilvl w:val="0"/>
          <w:numId w:val="23"/>
        </w:numPr>
        <w:rPr/>
      </w:pPr>
      <w:r>
        <w:rPr/>
        <w:t>No.  Interestingly, and as would be expected, each of the witnesses who suggest the establishment of a Pacific Northwest just and reasonable price identify different approaches for establishing the price.</w:t>
      </w:r>
      <w:r>
        <w:rPr>
          <w:rStyle w:val="FootnoteCharacters"/>
          <w:rStyle w:val="FootnoteReference"/>
        </w:rPr>
        <w:footnoteReference w:id="24"/>
      </w:r>
      <w:r>
        <w:rPr/>
        <w:t xml:space="preserve">  However, in each instance the suggested methodology for calculating a just and reasonable price does not agree with economic theory.</w:t>
      </w:r>
    </w:p>
    <w:p>
      <w:pPr>
        <w:pStyle w:val="NormalQuestion"/>
        <w:numPr>
          <w:ilvl w:val="0"/>
          <w:numId w:val="30"/>
        </w:numPr>
        <w:ind w:hanging="0" w:start="0"/>
        <w:rPr/>
      </w:pPr>
      <w:r>
        <w:rPr/>
        <w:t>Please explain why the methodologies do not agree with economic theory.</w:t>
      </w:r>
    </w:p>
    <w:p>
      <w:pPr>
        <w:pStyle w:val="NormalAnswer"/>
        <w:numPr>
          <w:ilvl w:val="0"/>
          <w:numId w:val="14"/>
        </w:numPr>
        <w:rPr/>
      </w:pPr>
      <w:r>
        <w:rPr/>
        <w:t>Economic theory indicates that the price that should prevail in a competitive marketplace is the highest competitively established price at which a consumer is willing to pay for the product in question (i.e., where supply and demand are exactly balanced).  As I described in Section II of this testimony, as electricity production in the Western U.S. became more valuable, the price was set by purchasers of electricity who paid higher prices; in other words, demand was setting the price.  At the same time, producers of electricity (including those members of the NPG) recognized that it would be irrational to sell their production at prices below what the market would sustain.  As a result of this increase in the value of production, electricity generators sought to dispose of production at the highest sustainable price.  This price, the market price determined through the competitive interaction of buyers and sellers, is the just and reasonable price.</w:t>
      </w:r>
    </w:p>
    <w:p>
      <w:pPr>
        <w:pStyle w:val="NormalQuestion"/>
        <w:numPr>
          <w:ilvl w:val="0"/>
          <w:numId w:val="30"/>
        </w:numPr>
        <w:ind w:hanging="0" w:start="0"/>
        <w:rPr/>
      </w:pPr>
      <w:r>
        <w:rPr/>
        <w:t>Please explain why the methodologies proposed by the NPG do not agree with economic theory.</w:t>
      </w:r>
    </w:p>
    <w:p>
      <w:pPr>
        <w:pStyle w:val="NormalAnswer"/>
        <w:numPr>
          <w:ilvl w:val="0"/>
          <w:numId w:val="27"/>
        </w:numPr>
        <w:rPr/>
      </w:pPr>
      <w:r>
        <w:rPr/>
        <w:t>The just and reasonable price calculation methodologies proposed by witnesses Movish (on behalf of Tacoma and the Port of Seattle) and McCullough (on behalf of Seattle City Light) ignore the fact that the electrical production bought and sold during the time period in question had a higher value than its variable cost.</w:t>
      </w:r>
      <w:r>
        <w:rPr>
          <w:rStyle w:val="FootnoteCharacters"/>
          <w:rStyle w:val="FootnoteReference"/>
        </w:rPr>
        <w:footnoteReference w:id="25"/>
      </w:r>
      <w:r>
        <w:rPr/>
        <w:t xml:space="preserve">  Movish and McCullough each propose that a just and reasonable price for the Pacific Northwest be based on the variable operating costs of electricity generating resources located in the Pacific Northwest.</w:t>
      </w:r>
      <w:r>
        <w:rPr>
          <w:rStyle w:val="FootnoteCharacters"/>
          <w:rStyle w:val="FootnoteReference"/>
        </w:rPr>
        <w:footnoteReference w:id="26"/>
      </w:r>
      <w:r>
        <w:rPr/>
        <w:t xml:space="preserve">  Each of these methodologies ignore the fact that the electrical generation in question could have been sold (and in some cases was sold by NPG members) at a higher price than a price based on variable operating cost of Pacific Northwest generating units.</w:t>
      </w:r>
      <w:r>
        <w:rPr>
          <w:rStyle w:val="FootnoteCharacters"/>
          <w:rStyle w:val="FootnoteReference"/>
        </w:rPr>
        <w:footnoteReference w:id="27"/>
      </w:r>
      <w:r>
        <w:rPr/>
        <w:t xml:space="preserve">  These sales’ prices, in many cases, represented the scarcity value of the electricity and in many instances were based on the upstream purchase price of another entity (marketer) that was completely unrelated to variable operating costs of generating units in the PNW.  The establishment of a so-called just and reasonable price is inconsistent with economic theory.</w:t>
      </w:r>
    </w:p>
    <w:p>
      <w:pPr>
        <w:pStyle w:val="Heading1"/>
        <w:ind w:hanging="0" w:start="0"/>
        <w:rPr>
          <w:rFonts w:ascii="Arial" w:hAnsi="Arial" w:cs="Arial"/>
        </w:rPr>
      </w:pPr>
      <w:r>
        <w:rPr>
          <w:rFonts w:cs="Arial" w:ascii="Arial" w:hAnsi="Arial"/>
        </w:rPr>
        <w:t>Conclusions</w:t>
      </w:r>
    </w:p>
    <w:p>
      <w:pPr>
        <w:pStyle w:val="NormalQuestion"/>
        <w:numPr>
          <w:ilvl w:val="0"/>
          <w:numId w:val="30"/>
        </w:numPr>
        <w:ind w:hanging="0" w:start="0"/>
        <w:rPr/>
      </w:pPr>
      <w:r>
        <w:rPr/>
        <w:t>What conclusions have you drawn based on your examination of the allegations and arguments sponsored by witnesses for the NPG?</w:t>
      </w:r>
    </w:p>
    <w:p>
      <w:pPr>
        <w:pStyle w:val="NormalAnswer"/>
        <w:numPr>
          <w:ilvl w:val="0"/>
          <w:numId w:val="33"/>
        </w:numPr>
        <w:rPr/>
      </w:pPr>
      <w:r>
        <w:rPr/>
        <w:t>I have drawn several conclusions.</w:t>
      </w:r>
    </w:p>
    <w:p>
      <w:pPr>
        <w:pStyle w:val="NormalQuestion"/>
        <w:numPr>
          <w:ilvl w:val="0"/>
          <w:numId w:val="30"/>
        </w:numPr>
        <w:ind w:hanging="0" w:start="0"/>
        <w:rPr/>
      </w:pPr>
      <w:r>
        <w:rPr/>
        <w:t>Will you please state your individual conclusions?</w:t>
      </w:r>
    </w:p>
    <w:p>
      <w:pPr>
        <w:pStyle w:val="NormalAnswer"/>
        <w:numPr>
          <w:ilvl w:val="0"/>
          <w:numId w:val="28"/>
        </w:numPr>
        <w:rPr/>
      </w:pPr>
      <w:r>
        <w:rPr/>
        <w:t xml:space="preserve">Yes.  First, I find it remarkable that the witnesses for the NPG are asking the Commission to find for their clients and order refunds based on allegations of market power without any evidence to support those allegations.  As I explained earlier in my testimony, the actions of sellers and the prevailing prices in the PNW are fully consistent with a competitive market and an attempt on the part of buyers and sellers to allocate scarce resources efficiently.  I also showed that the effect of high prices through June 2001 led to numerous responses such as demand reductions due to both interruptible loads and conservation that has contributed to a marked reduction in electricity prices in the PNW as well as a stronger incentive to increase generation capacity and conserve electric energy.  The prices set by the marketplace from December 2000 through June 2001 reflect the actions of buyers and sellers in a competitive market responding to forces other than acts of market power.  </w:t>
      </w:r>
    </w:p>
    <w:p>
      <w:pPr>
        <w:pStyle w:val="NormalQuestion"/>
        <w:numPr>
          <w:ilvl w:val="0"/>
          <w:numId w:val="30"/>
        </w:numPr>
        <w:ind w:hanging="0" w:start="0"/>
        <w:rPr/>
      </w:pPr>
      <w:r>
        <w:rPr/>
        <w:t>Have you drawn other conclusions?</w:t>
      </w:r>
    </w:p>
    <w:p>
      <w:pPr>
        <w:pStyle w:val="NormalAnswer"/>
        <w:numPr>
          <w:ilvl w:val="0"/>
          <w:numId w:val="5"/>
        </w:numPr>
        <w:rPr/>
      </w:pPr>
      <w:r>
        <w:rPr/>
        <w:t>Yes.  I can find no evidence that the utilities supporting the NPG acted sufficiently to mitigate the price risk they knew to exist at the end of 2000.  I did find that while these utilities cite a lack of cheap forward and spot contracts, they enjoyed supra-normal profits from the sale of excess electric energy in the relevant geographic market as a result of remaining exposed to price risk in the Fall of 2000.  At the very least, witnesses for the NPG ought to recognize the lack of symmetry in their argument that affordable hedges did not exist.  The NPG cannot have it both ways, a nice profit when they have excess power and sub-market prices for spot and forward purchases when they need power.  These utilities knew the extent of price risk they faced, they simply ignored or did not account for the possibility of highly volatile market prices come 2001.</w:t>
      </w:r>
      <w:r>
        <w:rPr>
          <w:rStyle w:val="FootnoteCharacters"/>
          <w:rStyle w:val="FootnoteReference"/>
        </w:rPr>
        <w:footnoteReference w:id="28"/>
      </w:r>
    </w:p>
    <w:p>
      <w:pPr>
        <w:pStyle w:val="NormalQuestion"/>
        <w:numPr>
          <w:ilvl w:val="0"/>
          <w:numId w:val="30"/>
        </w:numPr>
        <w:ind w:hanging="0" w:start="0"/>
        <w:rPr/>
      </w:pPr>
      <w:r>
        <w:rPr/>
        <w:t>What about the refunds and their impact on the electricity market?  Do you support the NPG’s allegation that the refunds are necessary to reproduce the outcome of a calculation of just and reasonable prices?</w:t>
      </w:r>
    </w:p>
    <w:p>
      <w:pPr>
        <w:pStyle w:val="NormalAnswer"/>
        <w:numPr>
          <w:ilvl w:val="0"/>
          <w:numId w:val="22"/>
        </w:numPr>
        <w:rPr/>
      </w:pPr>
      <w:r>
        <w:rPr/>
        <w:t>Absolutely not.  Any refund would unfairly redistribute wealth from the sellers of electricity to the buyers without any foundation or justification for ordering refunds.  There has been no showing of market power or other evidence indicating that members of the TFG did anything other than reflect the competitive market expectations in their bilateral contracts.  More importantly, refunds would “unwind” the progress that has been made toward preventing a reoccurrence of the price spikes in the future.  Prices for electricity have already subsided for the reasons I identified above.  The additional structural changes – once completed – will virtually ensure that PNW markets are unlikely to ever see price spikes of the magnitude seen in 2000 and 2001.</w:t>
      </w:r>
    </w:p>
    <w:p>
      <w:pPr>
        <w:pStyle w:val="NormalQuestion"/>
        <w:numPr>
          <w:ilvl w:val="0"/>
          <w:numId w:val="30"/>
        </w:numPr>
        <w:ind w:hanging="0" w:start="0"/>
        <w:rPr/>
      </w:pPr>
      <w:r>
        <w:rPr/>
        <w:t>Does that conclude your testimony?</w:t>
      </w:r>
    </w:p>
    <w:p>
      <w:pPr>
        <w:pStyle w:val="NormalAnswer"/>
        <w:numPr>
          <w:ilvl w:val="0"/>
          <w:numId w:val="40"/>
        </w:numPr>
        <w:rPr/>
      </w:pPr>
      <w:r>
        <w:rPr/>
        <w:t>Yes.</w:t>
      </w:r>
    </w:p>
    <w:sectPr>
      <w:headerReference w:type="default" r:id="rId4"/>
      <w:headerReference w:type="first" r:id="rId5"/>
      <w:footerReference w:type="default" r:id="rId6"/>
      <w:footerReference w:type="first" r:id="rId7"/>
      <w:footnotePr>
        <w:numFmt w:val="decimal"/>
      </w:footnotePr>
      <w:type w:val="nextPage"/>
      <w:pgSz w:w="12240" w:h="15840"/>
      <w:pgMar w:left="2520" w:right="1440" w:gutter="0" w:header="720" w:top="1800" w:footer="720" w:bottom="2160"/>
      <w:lnNumType w:countBy="1" w:restart="newPage" w:distance="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Tms Rmn">
    <w:altName w:val="Times New Roman"/>
    <w:charset w:val="00" w:characterSet="windows-1252"/>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G Omeg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left" w:pos="8712" w:leader="none"/>
      </w:tabs>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720"/>
        <w:tab w:val="right" w:pos="8280" w:leader="none"/>
      </w:tabs>
      <w:rPr/>
    </w:pPr>
    <w:r>
      <w:rPr/>
      <w:t>Attorney Work Product</w:t>
      <w:tab/>
      <w:t>DRAFT</w:t>
    </w:r>
    <w:r>
      <mc:AlternateContent>
        <mc:Choice Requires="wps">
          <w:drawing>
            <wp:anchor behindDoc="0" distT="0" distB="0" distL="0" distR="0" simplePos="0" locked="0" layoutInCell="0" allowOverlap="1" relativeHeight="31">
              <wp:simplePos x="0" y="0"/>
              <wp:positionH relativeFrom="margin">
                <wp:align>center</wp:align>
              </wp:positionH>
              <wp:positionV relativeFrom="paragraph">
                <wp:posOffset>635</wp:posOffset>
              </wp:positionV>
              <wp:extent cx="169545" cy="175260"/>
              <wp:effectExtent l="0" t="0" r="0" b="0"/>
              <wp:wrapSquare wrapText="bothSides"/>
              <wp:docPr id="1" name="Frame3"/>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30</w:t>
                          </w:r>
                          <w:r>
                            <w:rPr>
                              <w:rStyle w:val="PageNumber"/>
                              <w:rFonts w:cs="Arial" w:ascii="Arial" w:hAnsi="Arial"/>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0.35pt;mso-position-horizontal:center;mso-position-horizontal-relative:margin">
              <v:fill opacity="0f"/>
              <v:textbox inset="0in,0in,0in,0in">
                <w:txbxContent>
                  <w:p>
                    <w:pPr>
                      <w:pStyle w:val="Footer"/>
                      <w:rPr>
                        <w:rStyle w:val="PageNumber"/>
                        <w:rFonts w:ascii="Arial" w:hAnsi="Arial" w:cs="Arial"/>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30</w:t>
                    </w:r>
                    <w:r>
                      <w:rPr>
                        <w:rStyle w:val="PageNumber"/>
                        <w:rFonts w:cs="Arial" w:ascii="Arial" w:hAnsi="Arial"/>
                      </w:rPr>
                      <w:fldChar w:fldCharType="end"/>
                    </w:r>
                  </w:p>
                </w:txbxContent>
              </v:textbox>
              <w10:wrap type="square"/>
            </v:rect>
          </w:pict>
        </mc:Fallback>
      </mc:AlternateContent>
    </w:r>
  </w:p>
  <w:p>
    <w:pPr>
      <w:pStyle w:val="Footer"/>
      <w:tabs>
        <w:tab w:val="clear" w:pos="720"/>
        <w:tab w:val="right" w:pos="8280" w:leader="none"/>
      </w:tabs>
      <w:rPr/>
    </w:pPr>
    <w:r>
      <w:rPr/>
      <w:t>Privileged and Confidential</w:t>
      <w:tab/>
      <w:t>Lexecon</w:t>
    </w:r>
    <w:r>
      <w:rPr>
        <w:smallCaps/>
      </w:rPr>
      <w:t xml:space="preserve"> Inc.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FERC, </w:t>
      </w:r>
      <w:r>
        <w:rPr>
          <w:i/>
        </w:rPr>
        <w:t>Order on Motions for Clarification and Request for Modification</w:t>
      </w:r>
      <w:r>
        <w:rPr/>
        <w:t>, Docket Nos. EL01-10-000 &amp; EL01-10-001, August 13, 2001.</w:t>
      </w:r>
    </w:p>
  </w:footnote>
  <w:footnote w:id="3">
    <w:p>
      <w:pPr>
        <w:pStyle w:val="FootnoteText"/>
        <w:rPr/>
      </w:pPr>
      <w:r>
        <w:rPr>
          <w:rStyle w:val="FootnoteCharacters"/>
        </w:rPr>
        <w:footnoteRef/>
      </w:r>
      <w:r>
        <w:rPr/>
        <w:t xml:space="preserve"> </w:t>
      </w:r>
      <w:r>
        <w:rPr/>
        <w:t>This is particularly important in the case of electricity.  During hours when electricity is  in short supply, high prices reflect buyers’ desire to avoid the cost of interruptions in service.</w:t>
      </w:r>
    </w:p>
  </w:footnote>
  <w:footnote w:id="4">
    <w:p>
      <w:pPr>
        <w:pStyle w:val="FootnoteText"/>
        <w:rPr/>
      </w:pPr>
      <w:r>
        <w:rPr>
          <w:rStyle w:val="FootnoteCharacters"/>
        </w:rPr>
        <w:footnoteRef/>
      </w:r>
      <w:r>
        <w:rPr/>
        <w:t xml:space="preserve"> </w:t>
      </w:r>
      <w:r>
        <w:rPr/>
        <w:t>This assumes that the buyers actually face the $7 per bushel market price.</w:t>
      </w:r>
    </w:p>
  </w:footnote>
  <w:footnote w:id="5">
    <w:p>
      <w:pPr>
        <w:pStyle w:val="FootnoteText"/>
        <w:rPr/>
      </w:pPr>
      <w:r>
        <w:rPr>
          <w:rStyle w:val="FootnoteCharacters"/>
        </w:rPr>
        <w:footnoteRef/>
      </w:r>
      <w:r>
        <w:rPr/>
        <w:t xml:space="preserve"> </w:t>
      </w:r>
      <w:r>
        <w:rPr/>
        <w:t>Electricity trades in the Pacific Northwest are made in accordance with the Western Systems Power Pool (WSPP) Agreement.  This Agreement provides a trading template that all parties to the Agreement can utilize to allow trades to be executed quickly and efficiently.</w:t>
      </w:r>
    </w:p>
  </w:footnote>
  <w:footnote w:id="6">
    <w:p>
      <w:pPr>
        <w:pStyle w:val="FootnoteText"/>
        <w:rPr/>
      </w:pPr>
      <w:r>
        <w:rPr>
          <w:rStyle w:val="FootnoteCharacters"/>
        </w:rPr>
        <w:footnoteRef/>
      </w:r>
      <w:r>
        <w:rPr/>
        <w:t xml:space="preserve"> </w:t>
      </w:r>
      <w:r>
        <w:rPr/>
        <w:t>Prepared Direct Testimony of Frank A. Wolak, Ph.D. at 8.</w:t>
      </w:r>
    </w:p>
  </w:footnote>
  <w:footnote w:id="7">
    <w:p>
      <w:pPr>
        <w:pStyle w:val="FootnoteText"/>
        <w:rPr/>
      </w:pPr>
      <w:r>
        <w:rPr>
          <w:rStyle w:val="FootnoteCharacters"/>
        </w:rPr>
        <w:footnoteRef/>
      </w:r>
      <w:r>
        <w:rPr/>
        <w:t xml:space="preserve"> </w:t>
      </w:r>
      <w:r>
        <w:rPr/>
        <w:t>This is precisely the reason that the price of electricity supplies increased in the Northwest; it would have been irrational for sellers to ignore the opportunity cost of selling to California when evaluating sales to the Northwest.</w:t>
      </w:r>
    </w:p>
  </w:footnote>
  <w:footnote w:id="8">
    <w:p>
      <w:pPr>
        <w:pStyle w:val="FootnoteText"/>
        <w:rPr/>
      </w:pPr>
      <w:r>
        <w:rPr>
          <w:rStyle w:val="FootnoteCharacters"/>
        </w:rPr>
        <w:footnoteRef/>
      </w:r>
      <w:r>
        <w:rPr/>
        <w:t xml:space="preserve"> </w:t>
      </w:r>
      <w:r>
        <w:rPr>
          <w:i/>
        </w:rPr>
        <w:t>Initial Testimony of Dolores Stegeman on Behalf of Tacoma Power</w:t>
      </w:r>
      <w:r>
        <w:rPr/>
        <w:t xml:space="preserve"> at 13-14 and </w:t>
      </w:r>
      <w:r>
        <w:rPr>
          <w:i/>
        </w:rPr>
        <w:t>Initial Testimony of Paula Green on Behalf of Seattle City Light</w:t>
      </w:r>
      <w:r>
        <w:rPr/>
        <w:t xml:space="preserve"> at 11-12.</w:t>
      </w:r>
    </w:p>
  </w:footnote>
  <w:footnote w:id="9">
    <w:p>
      <w:pPr>
        <w:pStyle w:val="FootnoteText"/>
        <w:rPr/>
      </w:pPr>
      <w:r>
        <w:rPr>
          <w:rStyle w:val="FootnoteCharacters"/>
        </w:rPr>
        <w:footnoteRef/>
      </w:r>
      <w:r>
        <w:rPr/>
        <w:t xml:space="preserve"> </w:t>
      </w:r>
      <w:r>
        <w:rPr/>
        <w:t>For a detailed discussion of the gasoline price spikes and subsequent market responses see the Final Report of the Federal Trade Commission, Midwest Gasoline Price Investigation, March 29, 2001.</w:t>
      </w:r>
    </w:p>
  </w:footnote>
  <w:footnote w:id="10">
    <w:p>
      <w:pPr>
        <w:pStyle w:val="FootnoteText"/>
        <w:rPr/>
      </w:pPr>
      <w:r>
        <w:rPr>
          <w:rStyle w:val="FootnoteCharacters"/>
        </w:rPr>
        <w:footnoteRef/>
      </w:r>
      <w:r>
        <w:rPr/>
        <w:t xml:space="preserve"> </w:t>
      </w:r>
      <w:r>
        <w:rPr>
          <w:i/>
        </w:rPr>
        <w:t>Prepared Direct Testimony</w:t>
      </w:r>
      <w:r>
        <w:rPr/>
        <w:t xml:space="preserve"> of Professor Wolak at 8.</w:t>
      </w:r>
    </w:p>
  </w:footnote>
  <w:footnote w:id="11">
    <w:p>
      <w:pPr>
        <w:pStyle w:val="FootnoteText"/>
        <w:rPr/>
      </w:pPr>
      <w:r>
        <w:rPr>
          <w:rStyle w:val="FootnoteCharacters"/>
        </w:rPr>
        <w:footnoteRef/>
      </w:r>
      <w:r>
        <w:rPr/>
        <w:t xml:space="preserve"> </w:t>
      </w:r>
      <w:r>
        <w:rPr/>
        <w:t>As I described earlier, and as Mr. Seabron Adamson describes in his testimony, a market can clear efficiently only when scarcity value is included in a seller’s supply decision.</w:t>
      </w:r>
    </w:p>
  </w:footnote>
  <w:footnote w:id="12">
    <w:p>
      <w:pPr>
        <w:pStyle w:val="Normal"/>
        <w:spacing w:lineRule="atLeast" w:line="240"/>
        <w:rPr/>
      </w:pPr>
      <w:r>
        <w:rPr>
          <w:rStyle w:val="FootnoteCharacters"/>
        </w:rPr>
        <w:footnoteRef/>
      </w:r>
      <w:r>
        <w:rPr>
          <w:rFonts w:cs="Arial" w:ascii="Arial" w:hAnsi="Arial"/>
          <w:sz w:val="20"/>
        </w:rPr>
        <w:t xml:space="preserve"> </w:t>
      </w:r>
      <w:r>
        <w:rPr>
          <w:rFonts w:cs="Arial" w:ascii="Arial" w:hAnsi="Arial"/>
          <w:sz w:val="20"/>
        </w:rPr>
        <w:t>Staff Report to the Federal Energy Regulatory Commission on the Causes of Wholesale Electricity Pricing Abnormalities in the Midwest During June 1998, Sept. 22, 1998.</w:t>
      </w:r>
    </w:p>
  </w:footnote>
  <w:footnote w:id="13">
    <w:p>
      <w:pPr>
        <w:pStyle w:val="FootnoteText"/>
        <w:rPr/>
      </w:pPr>
      <w:r>
        <w:rPr>
          <w:rStyle w:val="FootnoteCharacters"/>
        </w:rPr>
        <w:footnoteRef/>
      </w:r>
      <w:r>
        <w:rPr/>
        <w:t xml:space="preserve">  </w:t>
      </w:r>
      <w:r>
        <w:rPr/>
        <w:t>Staff Report to the Federal Energy Regulatory Commission on the Causes of Wholesale Electricity Pricing Abnormalities in the Midwest During June 1998, Sept. 22, 1998 at 5-2.</w:t>
      </w:r>
    </w:p>
  </w:footnote>
  <w:footnote w:id="14">
    <w:p>
      <w:pPr>
        <w:pStyle w:val="FootnoteText"/>
        <w:rPr/>
      </w:pPr>
      <w:r>
        <w:rPr>
          <w:rStyle w:val="FootnoteCharacters"/>
        </w:rPr>
        <w:footnoteRef/>
      </w:r>
      <w:r>
        <w:rPr/>
        <w:t xml:space="preserve"> </w:t>
      </w:r>
      <w:r>
        <w:rPr/>
        <w:t xml:space="preserve">Ms. Stegeman notes in her </w:t>
      </w:r>
      <w:r>
        <w:rPr>
          <w:i/>
        </w:rPr>
        <w:t>Initial Testimony</w:t>
      </w:r>
      <w:r>
        <w:rPr/>
        <w:t xml:space="preserve"> at Page 16 that in the fall of 2000 it became apparent that reservoir levels were going to remain low as rains did not materialize.  Furthermore, as described by Samuel Van Vactor, the Bonneville Power Administration had been concerned since early 1999 about an energy deficit even under normal water conditions.  Also, to preserve salmon runs required a commitment on the part of utilities.</w:t>
      </w:r>
    </w:p>
  </w:footnote>
  <w:footnote w:id="15">
    <w:p>
      <w:pPr>
        <w:pStyle w:val="FootnoteText"/>
        <w:rPr/>
      </w:pPr>
      <w:r>
        <w:rPr>
          <w:rStyle w:val="FootnoteCharacters"/>
        </w:rPr>
        <w:footnoteRef/>
      </w:r>
      <w:r>
        <w:rPr/>
        <w:t xml:space="preserve"> </w:t>
      </w:r>
      <w:r>
        <w:rPr>
          <w:i/>
        </w:rPr>
        <w:t xml:space="preserve">Prepared Direct Testimony </w:t>
      </w:r>
      <w:r>
        <w:rPr/>
        <w:t xml:space="preserve">of Wolak at 4. </w:t>
      </w:r>
    </w:p>
  </w:footnote>
  <w:footnote w:id="16">
    <w:p>
      <w:pPr>
        <w:pStyle w:val="FootnoteText"/>
        <w:rPr/>
      </w:pPr>
      <w:r>
        <w:rPr>
          <w:rStyle w:val="FootnoteCharacters"/>
        </w:rPr>
        <w:footnoteRef/>
      </w:r>
      <w:r>
        <w:rPr/>
        <w:t xml:space="preserve"> </w:t>
      </w:r>
      <w:r>
        <w:rPr>
          <w:i/>
        </w:rPr>
        <w:t xml:space="preserve">Initial testimony </w:t>
      </w:r>
      <w:r>
        <w:rPr/>
        <w:t>of Ms. Stegeman at 13-17.</w:t>
      </w:r>
    </w:p>
  </w:footnote>
  <w:footnote w:id="17">
    <w:p>
      <w:pPr>
        <w:pStyle w:val="FootnoteText"/>
        <w:rPr/>
      </w:pPr>
      <w:r>
        <w:rPr>
          <w:rStyle w:val="FootnoteCharacters"/>
        </w:rPr>
        <w:footnoteRef/>
      </w:r>
      <w:r>
        <w:rPr/>
        <w:t xml:space="preserve"> “</w:t>
      </w:r>
      <w:r>
        <w:rPr/>
        <w:t>The remainder of this year, and most of next year, we are more dependent on the market than we have been historically because of the sale of our share of the Centralia coal plant.”  Seattle City Light, “SCL Issues Brief:  Wholesale Power Market Prices and Seattle City Light Rates,” September 19, 2000, Page 2.  In addition, at the same time Tacoma Power owned and sold an 8% ownership share it had in the Centralia coal plant further exposing it to the spot market as well.</w:t>
      </w:r>
    </w:p>
  </w:footnote>
  <w:footnote w:id="18">
    <w:p>
      <w:pPr>
        <w:pStyle w:val="FootnoteText"/>
        <w:rPr/>
      </w:pPr>
      <w:r>
        <w:rPr>
          <w:rStyle w:val="FootnoteCharacters"/>
        </w:rPr>
        <w:footnoteRef/>
      </w:r>
      <w:r>
        <w:rPr/>
        <w:t xml:space="preserve"> </w:t>
      </w:r>
      <w:r>
        <w:rPr/>
        <w:t xml:space="preserve">Buyers and sellers of electric energy and capacity face several types of risk, but the risk of unexpected changes in price or price risk is the focus of the case before the Commission.  While price risk is neither unique to the electricity market, nor to energy markets in general, it is usually of particular concern in energy markets because of the significant energy content in many services and products consumed every day.  Indeed, the fact that energy markets have been or are still regulated stems from the need to protect consumers from price spikes. </w:t>
      </w:r>
    </w:p>
  </w:footnote>
  <w:footnote w:id="19">
    <w:p>
      <w:pPr>
        <w:pStyle w:val="FootnoteText"/>
        <w:rPr/>
      </w:pPr>
      <w:r>
        <w:rPr>
          <w:rStyle w:val="FootnoteCharacters"/>
        </w:rPr>
        <w:footnoteRef/>
      </w:r>
      <w:r>
        <w:rPr/>
        <w:t xml:space="preserve"> </w:t>
      </w:r>
      <w:r>
        <w:rPr>
          <w:i/>
        </w:rPr>
        <w:t>Initial</w:t>
      </w:r>
      <w:r>
        <w:rPr/>
        <w:t xml:space="preserve"> </w:t>
      </w:r>
      <w:r>
        <w:rPr>
          <w:i/>
        </w:rPr>
        <w:t xml:space="preserve">Testimony </w:t>
      </w:r>
      <w:r>
        <w:rPr/>
        <w:t>of Ms. Stegeman at 9-10 and Ms. Green at 13.</w:t>
      </w:r>
    </w:p>
  </w:footnote>
  <w:footnote w:id="20">
    <w:p>
      <w:pPr>
        <w:pStyle w:val="FootnoteText"/>
        <w:rPr/>
      </w:pPr>
      <w:r>
        <w:rPr>
          <w:rStyle w:val="FootnoteCharacters"/>
        </w:rPr>
        <w:footnoteRef/>
      </w:r>
      <w:r>
        <w:rPr/>
        <w:t xml:space="preserve"> </w:t>
      </w:r>
      <w:r>
        <w:rPr>
          <w:i/>
        </w:rPr>
        <w:t xml:space="preserve">Initial Testimony </w:t>
      </w:r>
      <w:r>
        <w:rPr/>
        <w:t>of Ms. Stegeman at 9.</w:t>
      </w:r>
    </w:p>
  </w:footnote>
  <w:footnote w:id="21">
    <w:p>
      <w:pPr>
        <w:pStyle w:val="FootnoteText"/>
        <w:rPr/>
      </w:pPr>
      <w:r>
        <w:rPr>
          <w:rStyle w:val="FootnoteCharacters"/>
        </w:rPr>
        <w:footnoteRef/>
      </w:r>
      <w:r>
        <w:rPr/>
        <w:t xml:space="preserve"> </w:t>
      </w:r>
      <w:r>
        <w:rPr/>
        <w:t>See TA0003134.</w:t>
      </w:r>
    </w:p>
  </w:footnote>
  <w:footnote w:id="22">
    <w:p>
      <w:pPr>
        <w:pStyle w:val="FootnoteText"/>
        <w:rPr/>
      </w:pPr>
      <w:r>
        <w:rPr>
          <w:rStyle w:val="FootnoteCharacters"/>
        </w:rPr>
        <w:footnoteRef/>
      </w:r>
      <w:r>
        <w:rPr/>
        <w:t xml:space="preserve"> </w:t>
      </w:r>
      <w:r>
        <w:rPr>
          <w:i/>
        </w:rPr>
        <w:t xml:space="preserve">Initial Testimony </w:t>
      </w:r>
      <w:r>
        <w:rPr/>
        <w:t>of Ms. Stegeman at 11.</w:t>
      </w:r>
    </w:p>
  </w:footnote>
  <w:footnote w:id="23">
    <w:p>
      <w:pPr>
        <w:pStyle w:val="FootnoteText"/>
        <w:rPr/>
      </w:pPr>
      <w:r>
        <w:rPr>
          <w:rStyle w:val="FootnoteCharacters"/>
        </w:rPr>
        <w:footnoteRef/>
      </w:r>
      <w:r>
        <w:rPr/>
        <w:t xml:space="preserve"> </w:t>
      </w:r>
      <w:r>
        <w:rPr/>
        <w:t>See Movish at 20, McCullough at 11-12, and Wolak at 13.</w:t>
      </w:r>
    </w:p>
  </w:footnote>
  <w:footnote w:id="24">
    <w:p>
      <w:pPr>
        <w:pStyle w:val="FootnoteText"/>
        <w:rPr/>
      </w:pPr>
      <w:r>
        <w:rPr>
          <w:rStyle w:val="FootnoteCharacters"/>
        </w:rPr>
        <w:footnoteRef/>
      </w:r>
      <w:r>
        <w:rPr/>
        <w:t xml:space="preserve"> </w:t>
      </w:r>
      <w:r>
        <w:rPr/>
        <w:t>This single observation reveals the complexity surrounding the suggestion that a just and reasonable price should be anything but the market price that prevails in a competitive marketplace.</w:t>
      </w:r>
    </w:p>
  </w:footnote>
  <w:footnote w:id="25">
    <w:p>
      <w:pPr>
        <w:pStyle w:val="FootnoteText"/>
        <w:rPr/>
      </w:pPr>
      <w:r>
        <w:rPr>
          <w:rStyle w:val="FootnoteCharacters"/>
        </w:rPr>
        <w:footnoteRef/>
      </w:r>
      <w:r>
        <w:rPr/>
        <w:t xml:space="preserve"> </w:t>
      </w:r>
      <w:r>
        <w:rPr/>
        <w:t>Professor Wolak (at 11-14) also proposes a means of testing for a just and reasonable price by comparing a price based on a competitive market outcome with a price based on costs.  Although Professor Wolak’s approach properly recognizes that a separate market clearing price based on Pacific Northwest generating units is inappropriate, it ignores the fact that the Pacific Northwest transactions were executed in a competitive environment.</w:t>
      </w:r>
    </w:p>
  </w:footnote>
  <w:footnote w:id="26">
    <w:p>
      <w:pPr>
        <w:pStyle w:val="FootnoteText"/>
        <w:rPr/>
      </w:pPr>
      <w:r>
        <w:rPr>
          <w:rStyle w:val="FootnoteCharacters"/>
        </w:rPr>
        <w:footnoteRef/>
      </w:r>
      <w:r>
        <w:rPr/>
        <w:t xml:space="preserve"> </w:t>
      </w:r>
      <w:r>
        <w:rPr>
          <w:i/>
        </w:rPr>
        <w:t xml:space="preserve">Prepared Direct Testimony </w:t>
      </w:r>
      <w:r>
        <w:rPr/>
        <w:t>of Movish at 20 and McCullough at 11-12</w:t>
      </w:r>
    </w:p>
  </w:footnote>
  <w:footnote w:id="27">
    <w:p>
      <w:pPr>
        <w:pStyle w:val="FootnoteText"/>
        <w:rPr/>
      </w:pPr>
      <w:r>
        <w:rPr>
          <w:rStyle w:val="FootnoteCharacters"/>
        </w:rPr>
        <w:footnoteRef/>
      </w:r>
      <w:r>
        <w:rPr/>
        <w:t xml:space="preserve"> </w:t>
      </w:r>
      <w:r>
        <w:rPr/>
        <w:t>This observation is due to the fact that there was an opportunity cost associated with selling the electricity in question at any price lower than what the market set.</w:t>
      </w:r>
    </w:p>
  </w:footnote>
  <w:footnote w:id="28">
    <w:p>
      <w:pPr>
        <w:pStyle w:val="FootnoteText"/>
        <w:rPr/>
      </w:pPr>
      <w:r>
        <w:rPr>
          <w:rStyle w:val="FootnoteCharacters"/>
        </w:rPr>
        <w:footnoteRef/>
      </w:r>
      <w:r>
        <w:rPr/>
        <w:t xml:space="preserve"> </w:t>
      </w:r>
      <w:r>
        <w:rPr/>
        <w:t>Stegeman at 11.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2001</w:t>
      <w:tab/>
      <w:tab/>
      <w:tab/>
      <w:tab/>
      <w:tab/>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25, 2001</w:t>
      <w:tab/>
      <w:tab/>
      <w:tab/>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1.%2"/>
      <w:lvlJc w:val="start"/>
      <w:pPr>
        <w:tabs>
          <w:tab w:val="num" w:pos="720"/>
        </w:tabs>
        <w:ind w:start="720" w:hanging="720"/>
      </w:pPr>
    </w:lvl>
    <w:lvl w:ilvl="2">
      <w:start w:val="1"/>
      <w:pStyle w:val="Heading3"/>
      <w:numFmt w:val="decimal"/>
      <w:lvlText w:val="%1.%2.%3"/>
      <w:lvlJc w:val="start"/>
      <w:pPr>
        <w:tabs>
          <w:tab w:val="num" w:pos="720"/>
        </w:tabs>
        <w:ind w:start="1440" w:hanging="720"/>
      </w:pPr>
      <w:rPr>
        <w:rFonts w:ascii="Tms Rmn" w:hAnsi="Tms Rmn" w:cs="Tms Rmn"/>
      </w:r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5">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6">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7">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8">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9">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0">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1">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2">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3">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4">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5">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6">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7">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8">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19">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0">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1">
    <w:lvl w:ilvl="0">
      <w:start w:val="1"/>
      <w:numFmt w:val="none"/>
      <w:suff w:val="nothing"/>
      <w:lvlText w:val="A:"/>
      <w:lvlJc w:val="start"/>
      <w:pPr>
        <w:tabs>
          <w:tab w:val="num" w:pos="720"/>
        </w:tabs>
        <w:ind w:start="0" w:hanging="720"/>
      </w:pPr>
      <w:rPr>
        <w:sz w:val="24"/>
        <w:i w:val="false"/>
        <w:b w:val="false"/>
        <w:rFonts w:ascii="Century Schoolbook" w:hAnsi="Century Schoolbook" w:cs="Century Schoolbook"/>
      </w:rPr>
    </w:lvl>
  </w:abstractNum>
  <w:abstractNum w:abstractNumId="22">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3">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4">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5">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6">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7">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8">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29">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0">
    <w:lvl w:ilvl="0">
      <w:start w:val="1"/>
      <w:numFmt w:val="none"/>
      <w:suff w:val="nothing"/>
      <w:lvlText w:val="Q:"/>
      <w:lvlJc w:val="start"/>
      <w:pPr>
        <w:tabs>
          <w:tab w:val="num" w:pos="0"/>
        </w:tabs>
        <w:ind w:start="0" w:hanging="720"/>
      </w:pPr>
      <w:rPr>
        <w:sz w:val="24"/>
        <w:i w:val="false"/>
        <w:b w:val="false"/>
        <w:rFonts w:ascii="Arial" w:hAnsi="Arial" w:cs="Arial"/>
      </w:rPr>
    </w:lvl>
  </w:abstractNum>
  <w:abstractNum w:abstractNumId="31">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2">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3">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4">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5">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6">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7">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8">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39">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40">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41">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42">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43">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44">
    <w:lvl w:ilvl="0">
      <w:start w:val="1"/>
      <w:numFmt w:val="none"/>
      <w:suff w:val="nothing"/>
      <w:lvlText w:val="A:"/>
      <w:lvlJc w:val="start"/>
      <w:pPr>
        <w:tabs>
          <w:tab w:val="num" w:pos="720"/>
        </w:tabs>
        <w:ind w:start="0" w:hanging="720"/>
      </w:pPr>
      <w:rPr>
        <w:sz w:val="24"/>
        <w:i w:val="false"/>
        <w:b w:val="false"/>
        <w:rFonts w:ascii="Times" w:hAnsi="Times" w:cs="Times"/>
      </w:rPr>
    </w:lvl>
  </w:abstractNum>
  <w:abstractNum w:abstractNumId="45">
    <w:lvl w:ilvl="0">
      <w:start w:val="1"/>
      <w:numFmt w:val="none"/>
      <w:suff w:val="nothing"/>
      <w:lvlText w:val="A:"/>
      <w:lvlJc w:val="start"/>
      <w:pPr>
        <w:tabs>
          <w:tab w:val="num" w:pos="720"/>
        </w:tabs>
        <w:ind w:start="0" w:hanging="720"/>
      </w:pPr>
      <w:rPr>
        <w:sz w:val="24"/>
        <w:i w:val="false"/>
        <w:b w:val="false"/>
        <w:rFonts w:ascii="Times" w:hAnsi="Times" w:cs="Time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pPr>
    <w:rPr>
      <w:rFonts w:ascii="Century Schoolbook" w:hAnsi="Century Schoolbook" w:eastAsia="Times New Roman" w:cs="Century Schoolbook"/>
      <w:color w:val="auto"/>
      <w:sz w:val="24"/>
      <w:szCs w:val="20"/>
      <w:lang w:val="en-US" w:bidi="ar-SA" w:eastAsia="zh-CN"/>
    </w:rPr>
  </w:style>
  <w:style w:type="paragraph" w:styleId="Heading1">
    <w:name w:val="heading 1"/>
    <w:next w:val="NormalQuestion"/>
    <w:qFormat/>
    <w:pPr>
      <w:keepNext w:val="true"/>
      <w:keepLines/>
      <w:widowControl/>
      <w:numPr>
        <w:ilvl w:val="0"/>
        <w:numId w:val="1"/>
      </w:numPr>
      <w:suppressLineNumbers/>
      <w:bidi w:val="0"/>
      <w:spacing w:before="600" w:after="240"/>
      <w:outlineLvl w:val="0"/>
    </w:pPr>
    <w:rPr>
      <w:rFonts w:ascii="Century Schoolbook" w:hAnsi="Century Schoolbook" w:eastAsia="Times New Roman" w:cs="Century Schoolbook"/>
      <w:b/>
      <w:caps/>
      <w:color w:val="auto"/>
      <w:sz w:val="28"/>
      <w:szCs w:val="20"/>
      <w:lang w:val="en-US" w:bidi="ar-SA" w:eastAsia="zh-CN"/>
    </w:rPr>
  </w:style>
  <w:style w:type="paragraph" w:styleId="Heading2">
    <w:name w:val="heading 2"/>
    <w:basedOn w:val="Heading1"/>
    <w:next w:val="NormalQuestion"/>
    <w:qFormat/>
    <w:pPr>
      <w:numPr>
        <w:ilvl w:val="1"/>
        <w:numId w:val="1"/>
      </w:numPr>
      <w:spacing w:before="520" w:after="240"/>
      <w:outlineLvl w:val="1"/>
    </w:pPr>
    <w:rPr>
      <w:caps w:val="false"/>
      <w:smallCaps w:val="false"/>
      <w:sz w:val="26"/>
    </w:rPr>
  </w:style>
  <w:style w:type="paragraph" w:styleId="Heading3">
    <w:name w:val="heading 3"/>
    <w:basedOn w:val="Heading2"/>
    <w:next w:val="NormalQuestion"/>
    <w:qFormat/>
    <w:pPr>
      <w:numPr>
        <w:ilvl w:val="2"/>
        <w:numId w:val="1"/>
      </w:numPr>
      <w:spacing w:before="240" w:after="240"/>
      <w:outlineLvl w:val="2"/>
    </w:pPr>
    <w:rPr>
      <w:sz w:val="24"/>
    </w:rPr>
  </w:style>
  <w:style w:type="paragraph" w:styleId="Heading4">
    <w:name w:val="heading 4"/>
    <w:basedOn w:val="Normal"/>
    <w:next w:val="Normal"/>
    <w:qFormat/>
    <w:pPr>
      <w:numPr>
        <w:ilvl w:val="3"/>
        <w:numId w:val="1"/>
      </w:numPr>
      <w:outlineLvl w:val="3"/>
    </w:pPr>
    <w:rPr>
      <w:b/>
      <w:i/>
    </w:rPr>
  </w:style>
  <w:style w:type="paragraph" w:styleId="Heading5">
    <w:name w:val="heading 5"/>
    <w:basedOn w:val="Heading4"/>
    <w:next w:val="Normal"/>
    <w:qFormat/>
    <w:pPr>
      <w:numPr>
        <w:ilvl w:val="4"/>
        <w:numId w:val="1"/>
      </w:numPr>
      <w:outlineLvl w:val="4"/>
    </w:pPr>
    <w:rPr/>
  </w:style>
  <w:style w:type="paragraph" w:styleId="Heading6">
    <w:name w:val="heading 6"/>
    <w:basedOn w:val="Heading4"/>
    <w:next w:val="Normal"/>
    <w:qFormat/>
    <w:pPr>
      <w:numPr>
        <w:ilvl w:val="5"/>
        <w:numId w:val="1"/>
      </w:numPr>
      <w:outlineLvl w:val="5"/>
    </w:pPr>
    <w:rPr/>
  </w:style>
  <w:style w:type="paragraph" w:styleId="Heading7">
    <w:name w:val="heading 7"/>
    <w:basedOn w:val="Heading4"/>
    <w:next w:val="Normal"/>
    <w:qFormat/>
    <w:pPr>
      <w:numPr>
        <w:ilvl w:val="6"/>
        <w:numId w:val="1"/>
      </w:numPr>
      <w:outlineLvl w:val="6"/>
    </w:pPr>
    <w:rPr/>
  </w:style>
  <w:style w:type="paragraph" w:styleId="Heading8">
    <w:name w:val="heading 8"/>
    <w:basedOn w:val="Heading4"/>
    <w:next w:val="Normal"/>
    <w:qFormat/>
    <w:pPr>
      <w:numPr>
        <w:ilvl w:val="7"/>
        <w:numId w:val="1"/>
      </w:numPr>
      <w:outlineLvl w:val="7"/>
    </w:pPr>
    <w:rPr/>
  </w:style>
  <w:style w:type="paragraph" w:styleId="Heading9">
    <w:name w:val="heading 9"/>
    <w:basedOn w:val="Heading4"/>
    <w:next w:val="Normal"/>
    <w:qFormat/>
    <w:pPr>
      <w:numPr>
        <w:ilvl w:val="8"/>
        <w:numId w:val="1"/>
      </w:numPr>
      <w:tabs>
        <w:tab w:val="clear" w:pos="720"/>
        <w:tab w:val="left" w:pos="360" w:leader="none"/>
      </w:tabs>
      <w:outlineLvl w:val="8"/>
    </w:pPr>
    <w:rPr/>
  </w:style>
  <w:style w:type="character" w:styleId="WW8Num1z2">
    <w:name w:val="WW8Num1z2"/>
    <w:qFormat/>
    <w:rPr>
      <w:rFonts w:ascii="Tms Rmn" w:hAnsi="Tms Rmn" w:cs="Tms Rmn"/>
    </w:rPr>
  </w:style>
  <w:style w:type="character" w:styleId="WW8Num2z0">
    <w:name w:val="WW8Num2z0"/>
    <w:qFormat/>
    <w:rPr>
      <w:rFonts w:ascii="Times" w:hAnsi="Times" w:cs="Times"/>
      <w:b w:val="false"/>
      <w:i w:val="false"/>
      <w:sz w:val="24"/>
    </w:rPr>
  </w:style>
  <w:style w:type="character" w:styleId="WW8Num3z0">
    <w:name w:val="WW8Num3z0"/>
    <w:qFormat/>
    <w:rPr>
      <w:rFonts w:ascii="Times" w:hAnsi="Times" w:cs="Times"/>
      <w:b w:val="false"/>
      <w:i w:val="false"/>
      <w:sz w:val="24"/>
    </w:rPr>
  </w:style>
  <w:style w:type="character" w:styleId="WW8Num4z0">
    <w:name w:val="WW8Num4z0"/>
    <w:qFormat/>
    <w:rPr>
      <w:rFonts w:ascii="Times" w:hAnsi="Times" w:cs="Times"/>
      <w:b w:val="false"/>
      <w:i w:val="false"/>
      <w:sz w:val="24"/>
    </w:rPr>
  </w:style>
  <w:style w:type="character" w:styleId="WW8Num5z0">
    <w:name w:val="WW8Num5z0"/>
    <w:qFormat/>
    <w:rPr>
      <w:rFonts w:ascii="Times" w:hAnsi="Times" w:cs="Times"/>
      <w:b w:val="false"/>
      <w:i w:val="false"/>
      <w:sz w:val="24"/>
    </w:rPr>
  </w:style>
  <w:style w:type="character" w:styleId="WW8Num6z0">
    <w:name w:val="WW8Num6z0"/>
    <w:qFormat/>
    <w:rPr>
      <w:rFonts w:ascii="Times" w:hAnsi="Times" w:cs="Times"/>
      <w:b w:val="false"/>
      <w:i w:val="false"/>
      <w:sz w:val="24"/>
    </w:rPr>
  </w:style>
  <w:style w:type="character" w:styleId="WW8Num7z0">
    <w:name w:val="WW8Num7z0"/>
    <w:qFormat/>
    <w:rPr>
      <w:rFonts w:ascii="Times" w:hAnsi="Times" w:cs="Times"/>
      <w:b w:val="false"/>
      <w:i w:val="false"/>
      <w:sz w:val="24"/>
    </w:rPr>
  </w:style>
  <w:style w:type="character" w:styleId="WW8Num8z0">
    <w:name w:val="WW8Num8z0"/>
    <w:qFormat/>
    <w:rPr>
      <w:rFonts w:ascii="Times" w:hAnsi="Times" w:cs="Times"/>
      <w:b w:val="false"/>
      <w:i w:val="false"/>
      <w:sz w:val="24"/>
    </w:rPr>
  </w:style>
  <w:style w:type="character" w:styleId="WW8Num9z0">
    <w:name w:val="WW8Num9z0"/>
    <w:qFormat/>
    <w:rPr>
      <w:rFonts w:ascii="Times" w:hAnsi="Times" w:cs="Times"/>
      <w:b w:val="false"/>
      <w:i w:val="false"/>
      <w:sz w:val="24"/>
    </w:rPr>
  </w:style>
  <w:style w:type="character" w:styleId="WW8Num10z0">
    <w:name w:val="WW8Num10z0"/>
    <w:qFormat/>
    <w:rPr>
      <w:rFonts w:ascii="Times" w:hAnsi="Times" w:cs="Times"/>
      <w:b w:val="false"/>
      <w:i w:val="false"/>
      <w:sz w:val="24"/>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Times" w:hAnsi="Times" w:cs="Times"/>
      <w:b w:val="false"/>
      <w:i w:val="false"/>
      <w:sz w:val="24"/>
    </w:rPr>
  </w:style>
  <w:style w:type="character" w:styleId="WW8Num13z0">
    <w:name w:val="WW8Num13z0"/>
    <w:qFormat/>
    <w:rPr>
      <w:rFonts w:ascii="Times" w:hAnsi="Times" w:cs="Times"/>
      <w:b w:val="false"/>
      <w:i w:val="false"/>
      <w:sz w:val="24"/>
    </w:rPr>
  </w:style>
  <w:style w:type="character" w:styleId="WW8Num14z0">
    <w:name w:val="WW8Num14z0"/>
    <w:qFormat/>
    <w:rPr/>
  </w:style>
  <w:style w:type="character" w:styleId="WW8Num15z0">
    <w:name w:val="WW8Num15z0"/>
    <w:qFormat/>
    <w:rPr>
      <w:rFonts w:ascii="Times" w:hAnsi="Times" w:cs="Times"/>
      <w:b w:val="false"/>
      <w:i w:val="false"/>
      <w:sz w:val="24"/>
    </w:rPr>
  </w:style>
  <w:style w:type="character" w:styleId="WW8Num16z0">
    <w:name w:val="WW8Num16z0"/>
    <w:qFormat/>
    <w:rPr>
      <w:rFonts w:ascii="Century Schoolbook" w:hAnsi="Century Schoolbook" w:cs="Century Schoolbook"/>
      <w:b w:val="false"/>
      <w:i w:val="false"/>
      <w:sz w:val="24"/>
    </w:rPr>
  </w:style>
  <w:style w:type="character" w:styleId="WW8Num17z0">
    <w:name w:val="WW8Num17z0"/>
    <w:qFormat/>
    <w:rPr>
      <w:rFonts w:ascii="Times" w:hAnsi="Times" w:cs="Times"/>
      <w:b w:val="false"/>
      <w:i w:val="false"/>
      <w:sz w:val="24"/>
    </w:rPr>
  </w:style>
  <w:style w:type="character" w:styleId="WW8Num18z0">
    <w:name w:val="WW8Num18z0"/>
    <w:qFormat/>
    <w:rPr>
      <w:rFonts w:ascii="Times" w:hAnsi="Times" w:cs="Times"/>
      <w:b w:val="false"/>
      <w:i w:val="false"/>
      <w:sz w:val="24"/>
    </w:rPr>
  </w:style>
  <w:style w:type="character" w:styleId="WW8Num19z0">
    <w:name w:val="WW8Num19z0"/>
    <w:qFormat/>
    <w:rPr>
      <w:rFonts w:ascii="Times" w:hAnsi="Times" w:cs="Times"/>
      <w:b w:val="false"/>
      <w:i w:val="false"/>
      <w:sz w:val="24"/>
    </w:rPr>
  </w:style>
  <w:style w:type="character" w:styleId="WW8Num20z0">
    <w:name w:val="WW8Num20z0"/>
    <w:qFormat/>
    <w:rPr>
      <w:rFonts w:ascii="Times" w:hAnsi="Times" w:cs="Times"/>
      <w:b w:val="false"/>
      <w:i w:val="false"/>
      <w:sz w:val="24"/>
    </w:rPr>
  </w:style>
  <w:style w:type="character" w:styleId="WW8Num21z0">
    <w:name w:val="WW8Num21z0"/>
    <w:qFormat/>
    <w:rPr>
      <w:rFonts w:ascii="Times" w:hAnsi="Times" w:cs="Times"/>
      <w:b w:val="false"/>
      <w:i w:val="false"/>
      <w:sz w:val="24"/>
    </w:rPr>
  </w:style>
  <w:style w:type="character" w:styleId="WW8Num22z0">
    <w:name w:val="WW8Num22z0"/>
    <w:qFormat/>
    <w:rPr>
      <w:rFonts w:ascii="Times" w:hAnsi="Times" w:cs="Times"/>
      <w:b w:val="false"/>
      <w:i w:val="false"/>
      <w:sz w:val="24"/>
    </w:rPr>
  </w:style>
  <w:style w:type="character" w:styleId="WW8Num23z0">
    <w:name w:val="WW8Num23z0"/>
    <w:qFormat/>
    <w:rPr>
      <w:rFonts w:ascii="Times" w:hAnsi="Times" w:cs="Times"/>
      <w:b w:val="false"/>
      <w:i w:val="false"/>
      <w:sz w:val="24"/>
    </w:rPr>
  </w:style>
  <w:style w:type="character" w:styleId="WW8Num24z0">
    <w:name w:val="WW8Num24z0"/>
    <w:qFormat/>
    <w:rPr>
      <w:rFonts w:ascii="Times" w:hAnsi="Times" w:cs="Times"/>
      <w:b w:val="false"/>
      <w:i w:val="false"/>
      <w:sz w:val="24"/>
    </w:rPr>
  </w:style>
  <w:style w:type="character" w:styleId="WW8Num25z0">
    <w:name w:val="WW8Num25z0"/>
    <w:qFormat/>
    <w:rPr>
      <w:rFonts w:ascii="Times" w:hAnsi="Times" w:cs="Times"/>
      <w:b w:val="false"/>
      <w:i w:val="false"/>
      <w:sz w:val="24"/>
    </w:rPr>
  </w:style>
  <w:style w:type="character" w:styleId="WW8Num26z0">
    <w:name w:val="WW8Num26z0"/>
    <w:qFormat/>
    <w:rPr>
      <w:rFonts w:ascii="Times" w:hAnsi="Times" w:cs="Times"/>
      <w:b w:val="false"/>
      <w:i w:val="false"/>
      <w:sz w:val="24"/>
    </w:rPr>
  </w:style>
  <w:style w:type="character" w:styleId="WW8Num27z0">
    <w:name w:val="WW8Num27z0"/>
    <w:qFormat/>
    <w:rPr>
      <w:rFonts w:ascii="Century Schoolbook" w:hAnsi="Century Schoolbook" w:cs="Century Schoolbook"/>
      <w:b w:val="false"/>
      <w:i w:val="false"/>
      <w:sz w:val="24"/>
    </w:rPr>
  </w:style>
  <w:style w:type="character" w:styleId="WW8Num28z0">
    <w:name w:val="WW8Num28z0"/>
    <w:qFormat/>
    <w:rPr>
      <w:rFonts w:ascii="Times" w:hAnsi="Times" w:cs="Times"/>
      <w:b w:val="false"/>
      <w:i w:val="false"/>
      <w:sz w:val="24"/>
    </w:rPr>
  </w:style>
  <w:style w:type="character" w:styleId="WW8Num29z0">
    <w:name w:val="WW8Num29z0"/>
    <w:qFormat/>
    <w:rPr>
      <w:rFonts w:ascii="Times" w:hAnsi="Times" w:cs="Times"/>
      <w:b w:val="false"/>
      <w:i w:val="false"/>
      <w:sz w:val="24"/>
    </w:rPr>
  </w:style>
  <w:style w:type="character" w:styleId="WW8Num30z0">
    <w:name w:val="WW8Num30z0"/>
    <w:qFormat/>
    <w:rPr>
      <w:rFonts w:ascii="Times" w:hAnsi="Times" w:cs="Times"/>
      <w:b w:val="false"/>
      <w:i w:val="false"/>
      <w:sz w:val="24"/>
    </w:rPr>
  </w:style>
  <w:style w:type="character" w:styleId="WW8Num31z0">
    <w:name w:val="WW8Num31z0"/>
    <w:qFormat/>
    <w:rPr>
      <w:rFonts w:ascii="Times" w:hAnsi="Times" w:cs="Times"/>
      <w:b w:val="false"/>
      <w:i w:val="false"/>
      <w:sz w:val="24"/>
    </w:rPr>
  </w:style>
  <w:style w:type="character" w:styleId="WW8Num32z0">
    <w:name w:val="WW8Num32z0"/>
    <w:qFormat/>
    <w:rPr>
      <w:rFonts w:ascii="Times" w:hAnsi="Times" w:cs="Times"/>
      <w:b w:val="false"/>
      <w:i w:val="false"/>
      <w:sz w:val="24"/>
    </w:rPr>
  </w:style>
  <w:style w:type="character" w:styleId="WW8Num33z0">
    <w:name w:val="WW8Num33z0"/>
    <w:qFormat/>
    <w:rPr>
      <w:rFonts w:ascii="Times" w:hAnsi="Times" w:cs="Times"/>
      <w:b w:val="false"/>
      <w:i w:val="false"/>
      <w:sz w:val="24"/>
    </w:rPr>
  </w:style>
  <w:style w:type="character" w:styleId="WW8Num34z0">
    <w:name w:val="WW8Num34z0"/>
    <w:qFormat/>
    <w:rPr>
      <w:rFonts w:ascii="Times" w:hAnsi="Times" w:cs="Times"/>
      <w:b w:val="false"/>
      <w:i w:val="false"/>
      <w:sz w:val="24"/>
    </w:rPr>
  </w:style>
  <w:style w:type="character" w:styleId="WW8Num35z0">
    <w:name w:val="WW8Num35z0"/>
    <w:qFormat/>
    <w:rPr>
      <w:rFonts w:ascii="Times" w:hAnsi="Times" w:cs="Times"/>
      <w:b w:val="false"/>
      <w:i w:val="false"/>
      <w:sz w:val="24"/>
    </w:rPr>
  </w:style>
  <w:style w:type="character" w:styleId="WW8Num36z0">
    <w:name w:val="WW8Num36z0"/>
    <w:qFormat/>
    <w:rPr>
      <w:rFonts w:ascii="Times" w:hAnsi="Times" w:cs="Times"/>
      <w:b w:val="false"/>
      <w:i w:val="false"/>
      <w:sz w:val="24"/>
    </w:rPr>
  </w:style>
  <w:style w:type="character" w:styleId="WW8Num37z0">
    <w:name w:val="WW8Num37z0"/>
    <w:qFormat/>
    <w:rPr>
      <w:rFonts w:ascii="Times" w:hAnsi="Times" w:cs="Times"/>
      <w:b w:val="false"/>
      <w:i w:val="false"/>
      <w:sz w:val="24"/>
    </w:rPr>
  </w:style>
  <w:style w:type="character" w:styleId="WW8Num38z0">
    <w:name w:val="WW8Num38z0"/>
    <w:qFormat/>
    <w:rPr>
      <w:rFonts w:ascii="Times" w:hAnsi="Times" w:cs="Times"/>
      <w:b w:val="false"/>
      <w:i w:val="false"/>
      <w:sz w:val="24"/>
    </w:rPr>
  </w:style>
  <w:style w:type="character" w:styleId="WW8Num39z0">
    <w:name w:val="WW8Num39z0"/>
    <w:qFormat/>
    <w:rPr>
      <w:rFonts w:ascii="Times" w:hAnsi="Times" w:cs="Times"/>
      <w:b w:val="false"/>
      <w:i w:val="false"/>
      <w:sz w:val="24"/>
    </w:rPr>
  </w:style>
  <w:style w:type="character" w:styleId="WW8Num40z0">
    <w:name w:val="WW8Num40z0"/>
    <w:qFormat/>
    <w:rPr>
      <w:rFonts w:ascii="Times" w:hAnsi="Times" w:cs="Times"/>
      <w:b w:val="false"/>
      <w:i w:val="false"/>
      <w:sz w:val="24"/>
    </w:rPr>
  </w:style>
  <w:style w:type="character" w:styleId="WW8Num41z0">
    <w:name w:val="WW8Num41z0"/>
    <w:qFormat/>
    <w:rPr/>
  </w:style>
  <w:style w:type="character" w:styleId="WW8Num42z0">
    <w:name w:val="WW8Num42z0"/>
    <w:qFormat/>
    <w:rPr>
      <w:rFonts w:ascii="Times" w:hAnsi="Times" w:cs="Times"/>
      <w:b w:val="false"/>
      <w:i w:val="false"/>
      <w:sz w:val="24"/>
    </w:rPr>
  </w:style>
  <w:style w:type="character" w:styleId="WW8Num43z0">
    <w:name w:val="WW8Num43z0"/>
    <w:qFormat/>
    <w:rPr>
      <w:rFonts w:ascii="Times" w:hAnsi="Times" w:cs="Times"/>
      <w:b w:val="false"/>
      <w:i w:val="false"/>
      <w:sz w:val="24"/>
    </w:rPr>
  </w:style>
  <w:style w:type="character" w:styleId="WW8Num44z0">
    <w:name w:val="WW8Num44z0"/>
    <w:qFormat/>
    <w:rPr>
      <w:rFonts w:ascii="Times" w:hAnsi="Times" w:cs="Times"/>
      <w:b w:val="false"/>
      <w:i w:val="false"/>
      <w:sz w:val="24"/>
    </w:rPr>
  </w:style>
  <w:style w:type="character" w:styleId="WW8Num45z0">
    <w:name w:val="WW8Num45z0"/>
    <w:qFormat/>
    <w:rPr>
      <w:rFonts w:ascii="Times" w:hAnsi="Times" w:cs="Times"/>
      <w:b w:val="false"/>
      <w:i w:val="false"/>
      <w:sz w:val="24"/>
    </w:rPr>
  </w:style>
  <w:style w:type="character" w:styleId="WW8Num46z0">
    <w:name w:val="WW8Num46z0"/>
    <w:qFormat/>
    <w:rPr>
      <w:rFonts w:ascii="Times" w:hAnsi="Times" w:cs="Times"/>
      <w:b w:val="false"/>
      <w:i w:val="false"/>
      <w:sz w:val="24"/>
    </w:rPr>
  </w:style>
  <w:style w:type="character" w:styleId="WW8Num47z0">
    <w:name w:val="WW8Num47z0"/>
    <w:qFormat/>
    <w:rPr>
      <w:rFonts w:ascii="Times" w:hAnsi="Times" w:cs="Times"/>
      <w:b w:val="false"/>
      <w:i w:val="false"/>
      <w:sz w:val="24"/>
    </w:rPr>
  </w:style>
  <w:style w:type="character" w:styleId="WW8Num48z0">
    <w:name w:val="WW8Num48z0"/>
    <w:qFormat/>
    <w:rPr>
      <w:rFonts w:ascii="Century Schoolbook" w:hAnsi="Century Schoolbook" w:cs="Century Schoolbook"/>
      <w:b w:val="false"/>
      <w:i w:val="false"/>
      <w:sz w:val="24"/>
    </w:rPr>
  </w:style>
  <w:style w:type="character" w:styleId="WW8Num49z0">
    <w:name w:val="WW8Num49z0"/>
    <w:qFormat/>
    <w:rPr>
      <w:rFonts w:ascii="Times" w:hAnsi="Times" w:cs="Times"/>
      <w:b w:val="false"/>
      <w:i w:val="false"/>
      <w:sz w:val="24"/>
    </w:rPr>
  </w:style>
  <w:style w:type="character" w:styleId="WW8Num50z0">
    <w:name w:val="WW8Num50z0"/>
    <w:qFormat/>
    <w:rPr>
      <w:rFonts w:ascii="Times" w:hAnsi="Times" w:cs="Times"/>
      <w:b w:val="false"/>
      <w:i w:val="false"/>
      <w:sz w:val="24"/>
    </w:rPr>
  </w:style>
  <w:style w:type="character" w:styleId="WW8Num51z0">
    <w:name w:val="WW8Num51z0"/>
    <w:qFormat/>
    <w:rPr>
      <w:rFonts w:ascii="Times" w:hAnsi="Times" w:cs="Times"/>
      <w:b w:val="false"/>
      <w:i w:val="false"/>
      <w:sz w:val="24"/>
    </w:rPr>
  </w:style>
  <w:style w:type="character" w:styleId="WW8Num52z0">
    <w:name w:val="WW8Num52z0"/>
    <w:qFormat/>
    <w:rPr>
      <w:rFonts w:ascii="Times" w:hAnsi="Times" w:cs="Times"/>
      <w:b w:val="false"/>
      <w:i w:val="false"/>
      <w:sz w:val="24"/>
    </w:rPr>
  </w:style>
  <w:style w:type="character" w:styleId="WW8Num53z0">
    <w:name w:val="WW8Num53z0"/>
    <w:qFormat/>
    <w:rPr>
      <w:rFonts w:ascii="Times" w:hAnsi="Times" w:cs="Times"/>
      <w:b w:val="false"/>
      <w:i w:val="false"/>
      <w:sz w:val="24"/>
    </w:rPr>
  </w:style>
  <w:style w:type="character" w:styleId="WW8Num54z0">
    <w:name w:val="WW8Num54z0"/>
    <w:qFormat/>
    <w:rPr>
      <w:rFonts w:ascii="Times" w:hAnsi="Times" w:cs="Times"/>
      <w:b w:val="false"/>
      <w:i w:val="false"/>
      <w:sz w:val="24"/>
    </w:rPr>
  </w:style>
  <w:style w:type="character" w:styleId="WW8Num55z0">
    <w:name w:val="WW8Num55z0"/>
    <w:qFormat/>
    <w:rPr/>
  </w:style>
  <w:style w:type="character" w:styleId="WW8Num56z0">
    <w:name w:val="WW8Num56z0"/>
    <w:qFormat/>
    <w:rPr>
      <w:rFonts w:ascii="Times" w:hAnsi="Times" w:cs="Times"/>
      <w:b w:val="false"/>
      <w:i w:val="false"/>
      <w:sz w:val="24"/>
    </w:rPr>
  </w:style>
  <w:style w:type="character" w:styleId="WW8Num57z0">
    <w:name w:val="WW8Num57z0"/>
    <w:qFormat/>
    <w:rPr>
      <w:rFonts w:ascii="Times" w:hAnsi="Times" w:cs="Times"/>
      <w:b w:val="false"/>
      <w:i w:val="false"/>
      <w:sz w:val="24"/>
    </w:rPr>
  </w:style>
  <w:style w:type="character" w:styleId="WW8Num58z0">
    <w:name w:val="WW8Num58z0"/>
    <w:qFormat/>
    <w:rPr>
      <w:rFonts w:ascii="Times" w:hAnsi="Times" w:cs="Times"/>
      <w:b w:val="false"/>
      <w:i w:val="false"/>
      <w:sz w:val="24"/>
    </w:rPr>
  </w:style>
  <w:style w:type="character" w:styleId="WW8Num59z0">
    <w:name w:val="WW8Num59z0"/>
    <w:qFormat/>
    <w:rPr>
      <w:rFonts w:ascii="Times" w:hAnsi="Times" w:cs="Times"/>
      <w:b w:val="false"/>
      <w:i w:val="false"/>
      <w:sz w:val="24"/>
    </w:rPr>
  </w:style>
  <w:style w:type="character" w:styleId="WW8Num60z0">
    <w:name w:val="WW8Num60z0"/>
    <w:qFormat/>
    <w:rPr>
      <w:rFonts w:ascii="Times" w:hAnsi="Times" w:cs="Times"/>
      <w:b w:val="false"/>
      <w:i w:val="false"/>
      <w:sz w:val="24"/>
    </w:rPr>
  </w:style>
  <w:style w:type="character" w:styleId="WW8Num61z0">
    <w:name w:val="WW8Num61z0"/>
    <w:qFormat/>
    <w:rPr>
      <w:rFonts w:ascii="Times" w:hAnsi="Times" w:cs="Times"/>
      <w:b w:val="false"/>
      <w:i w:val="false"/>
      <w:sz w:val="24"/>
    </w:rPr>
  </w:style>
  <w:style w:type="character" w:styleId="WW8Num62z0">
    <w:name w:val="WW8Num62z0"/>
    <w:qFormat/>
    <w:rPr>
      <w:rFonts w:ascii="Times" w:hAnsi="Times" w:cs="Times"/>
      <w:b w:val="false"/>
      <w:i w:val="false"/>
      <w:sz w:val="24"/>
    </w:rPr>
  </w:style>
  <w:style w:type="character" w:styleId="WW8Num63z0">
    <w:name w:val="WW8Num63z0"/>
    <w:qFormat/>
    <w:rPr>
      <w:rFonts w:ascii="Times" w:hAnsi="Times" w:cs="Times"/>
      <w:b w:val="false"/>
      <w:i w:val="false"/>
      <w:sz w:val="24"/>
    </w:rPr>
  </w:style>
  <w:style w:type="character" w:styleId="WW8Num64z0">
    <w:name w:val="WW8Num64z0"/>
    <w:qFormat/>
    <w:rPr>
      <w:rFonts w:ascii="Times" w:hAnsi="Times" w:cs="Times"/>
      <w:b w:val="false"/>
      <w:i w:val="false"/>
      <w:sz w:val="24"/>
    </w:rPr>
  </w:style>
  <w:style w:type="character" w:styleId="WW8Num65z0">
    <w:name w:val="WW8Num65z0"/>
    <w:qFormat/>
    <w:rPr>
      <w:rFonts w:ascii="Times" w:hAnsi="Times" w:cs="Times"/>
      <w:b w:val="false"/>
      <w:i w:val="false"/>
      <w:sz w:val="24"/>
    </w:rPr>
  </w:style>
  <w:style w:type="character" w:styleId="WW8Num66z0">
    <w:name w:val="WW8Num66z0"/>
    <w:qFormat/>
    <w:rPr>
      <w:rFonts w:ascii="Times" w:hAnsi="Times" w:cs="Times"/>
      <w:b w:val="false"/>
      <w:i w:val="false"/>
      <w:sz w:val="24"/>
    </w:rPr>
  </w:style>
  <w:style w:type="character" w:styleId="WW8Num67z0">
    <w:name w:val="WW8Num67z0"/>
    <w:qFormat/>
    <w:rPr/>
  </w:style>
  <w:style w:type="character" w:styleId="WW8Num68z0">
    <w:name w:val="WW8Num68z0"/>
    <w:qFormat/>
    <w:rPr>
      <w:rFonts w:ascii="Times" w:hAnsi="Times" w:cs="Times"/>
      <w:b w:val="false"/>
      <w:i w:val="false"/>
      <w:sz w:val="24"/>
    </w:rPr>
  </w:style>
  <w:style w:type="character" w:styleId="WW8Num69z0">
    <w:name w:val="WW8Num69z0"/>
    <w:qFormat/>
    <w:rPr>
      <w:rFonts w:ascii="Times" w:hAnsi="Times" w:cs="Times"/>
      <w:b w:val="false"/>
      <w:i w:val="false"/>
      <w:sz w:val="24"/>
    </w:rPr>
  </w:style>
  <w:style w:type="character" w:styleId="WW8Num70z0">
    <w:name w:val="WW8Num70z0"/>
    <w:qFormat/>
    <w:rPr>
      <w:rFonts w:ascii="Times" w:hAnsi="Times" w:cs="Times"/>
      <w:b w:val="false"/>
      <w:i w:val="false"/>
      <w:sz w:val="24"/>
    </w:rPr>
  </w:style>
  <w:style w:type="character" w:styleId="WW8Num71z0">
    <w:name w:val="WW8Num71z0"/>
    <w:qFormat/>
    <w:rPr>
      <w:rFonts w:ascii="Times" w:hAnsi="Times" w:cs="Times"/>
      <w:b w:val="false"/>
      <w:i w:val="false"/>
      <w:sz w:val="24"/>
    </w:rPr>
  </w:style>
  <w:style w:type="character" w:styleId="WW8Num72z0">
    <w:name w:val="WW8Num72z0"/>
    <w:qFormat/>
    <w:rPr>
      <w:rFonts w:ascii="Times" w:hAnsi="Times" w:cs="Times"/>
      <w:b w:val="false"/>
      <w:i w:val="false"/>
      <w:sz w:val="24"/>
    </w:rPr>
  </w:style>
  <w:style w:type="character" w:styleId="WW8Num73z0">
    <w:name w:val="WW8Num73z0"/>
    <w:qFormat/>
    <w:rPr>
      <w:rFonts w:ascii="Times" w:hAnsi="Times" w:cs="Times"/>
      <w:b w:val="false"/>
      <w:i w:val="false"/>
      <w:sz w:val="24"/>
    </w:rPr>
  </w:style>
  <w:style w:type="character" w:styleId="WW8Num74z0">
    <w:name w:val="WW8Num74z0"/>
    <w:qFormat/>
    <w:rPr>
      <w:rFonts w:ascii="Times" w:hAnsi="Times" w:cs="Times"/>
      <w:b w:val="false"/>
      <w:i w:val="false"/>
      <w:sz w:val="24"/>
    </w:rPr>
  </w:style>
  <w:style w:type="character" w:styleId="WW8Num75z0">
    <w:name w:val="WW8Num75z0"/>
    <w:qFormat/>
    <w:rPr>
      <w:rFonts w:ascii="Times" w:hAnsi="Times" w:cs="Times"/>
      <w:b w:val="false"/>
      <w:i w:val="false"/>
      <w:sz w:val="24"/>
    </w:rPr>
  </w:style>
  <w:style w:type="character" w:styleId="WW8Num76z0">
    <w:name w:val="WW8Num76z0"/>
    <w:qFormat/>
    <w:rPr>
      <w:rFonts w:ascii="Times" w:hAnsi="Times" w:cs="Times"/>
      <w:b w:val="false"/>
      <w:i w:val="false"/>
      <w:sz w:val="24"/>
    </w:rPr>
  </w:style>
  <w:style w:type="character" w:styleId="WW8Num77z0">
    <w:name w:val="WW8Num77z0"/>
    <w:qFormat/>
    <w:rPr>
      <w:rFonts w:ascii="Times" w:hAnsi="Times" w:cs="Times"/>
      <w:b w:val="false"/>
      <w:i w:val="false"/>
      <w:sz w:val="24"/>
    </w:rPr>
  </w:style>
  <w:style w:type="character" w:styleId="WW8Num78z0">
    <w:name w:val="WW8Num78z0"/>
    <w:qFormat/>
    <w:rPr>
      <w:rFonts w:ascii="Times" w:hAnsi="Times" w:cs="Times"/>
      <w:b w:val="false"/>
      <w:i w:val="false"/>
      <w:sz w:val="24"/>
    </w:rPr>
  </w:style>
  <w:style w:type="character" w:styleId="WW8Num79z0">
    <w:name w:val="WW8Num79z0"/>
    <w:qFormat/>
    <w:rPr>
      <w:rFonts w:ascii="Times" w:hAnsi="Times" w:cs="Times"/>
      <w:b w:val="false"/>
      <w:i w:val="false"/>
      <w:sz w:val="24"/>
    </w:rPr>
  </w:style>
  <w:style w:type="character" w:styleId="WW8Num80z0">
    <w:name w:val="WW8Num80z0"/>
    <w:qFormat/>
    <w:rPr>
      <w:rFonts w:ascii="Times" w:hAnsi="Times" w:cs="Times"/>
      <w:b w:val="false"/>
      <w:i w:val="false"/>
      <w:sz w:val="24"/>
    </w:rPr>
  </w:style>
  <w:style w:type="character" w:styleId="WW8Num81z0">
    <w:name w:val="WW8Num81z0"/>
    <w:qFormat/>
    <w:rPr>
      <w:rFonts w:ascii="Times" w:hAnsi="Times" w:cs="Times"/>
      <w:b w:val="false"/>
      <w:i w:val="false"/>
      <w:sz w:val="24"/>
    </w:rPr>
  </w:style>
  <w:style w:type="character" w:styleId="WW8Num82z0">
    <w:name w:val="WW8Num82z0"/>
    <w:qFormat/>
    <w:rPr>
      <w:rFonts w:ascii="Times" w:hAnsi="Times" w:cs="Times"/>
      <w:b w:val="false"/>
      <w:i w:val="false"/>
      <w:sz w:val="24"/>
    </w:rPr>
  </w:style>
  <w:style w:type="character" w:styleId="WW8Num83z0">
    <w:name w:val="WW8Num83z0"/>
    <w:qFormat/>
    <w:rPr>
      <w:rFonts w:ascii="Times" w:hAnsi="Times" w:cs="Times"/>
      <w:b w:val="false"/>
      <w:i w:val="false"/>
      <w:sz w:val="24"/>
    </w:rPr>
  </w:style>
  <w:style w:type="character" w:styleId="WW8Num84z0">
    <w:name w:val="WW8Num84z0"/>
    <w:qFormat/>
    <w:rPr>
      <w:rFonts w:ascii="Times" w:hAnsi="Times" w:cs="Times"/>
      <w:b w:val="false"/>
      <w:i w:val="false"/>
      <w:sz w:val="24"/>
    </w:rPr>
  </w:style>
  <w:style w:type="character" w:styleId="WW8Num85z0">
    <w:name w:val="WW8Num85z0"/>
    <w:qFormat/>
    <w:rPr>
      <w:rFonts w:ascii="Times" w:hAnsi="Times" w:cs="Times"/>
      <w:b w:val="false"/>
      <w:i w:val="false"/>
      <w:sz w:val="24"/>
    </w:rPr>
  </w:style>
  <w:style w:type="character" w:styleId="WW8Num86z0">
    <w:name w:val="WW8Num86z0"/>
    <w:qFormat/>
    <w:rPr>
      <w:rFonts w:ascii="Times" w:hAnsi="Times" w:cs="Times"/>
      <w:b w:val="false"/>
      <w:i w:val="false"/>
      <w:sz w:val="24"/>
    </w:rPr>
  </w:style>
  <w:style w:type="character" w:styleId="WW8Num87z0">
    <w:name w:val="WW8Num87z0"/>
    <w:qFormat/>
    <w:rPr>
      <w:rFonts w:ascii="Times" w:hAnsi="Times" w:cs="Times"/>
      <w:b w:val="false"/>
      <w:i w:val="false"/>
      <w:sz w:val="24"/>
    </w:rPr>
  </w:style>
  <w:style w:type="character" w:styleId="WW8Num88z0">
    <w:name w:val="WW8Num88z0"/>
    <w:qFormat/>
    <w:rPr>
      <w:rFonts w:ascii="Times" w:hAnsi="Times" w:cs="Times"/>
      <w:b w:val="false"/>
      <w:i w:val="false"/>
      <w:sz w:val="24"/>
    </w:rPr>
  </w:style>
  <w:style w:type="character" w:styleId="WW8Num89z0">
    <w:name w:val="WW8Num89z0"/>
    <w:qFormat/>
    <w:rPr>
      <w:rFonts w:ascii="Century Schoolbook" w:hAnsi="Century Schoolbook" w:cs="Century Schoolbook"/>
      <w:b w:val="false"/>
      <w:i w:val="false"/>
      <w:sz w:val="24"/>
    </w:rPr>
  </w:style>
  <w:style w:type="character" w:styleId="WW8Num90z0">
    <w:name w:val="WW8Num90z0"/>
    <w:qFormat/>
    <w:rPr>
      <w:rFonts w:ascii="Times" w:hAnsi="Times" w:cs="Times"/>
      <w:b w:val="false"/>
      <w:i w:val="false"/>
      <w:sz w:val="24"/>
    </w:rPr>
  </w:style>
  <w:style w:type="character" w:styleId="WW8Num91z0">
    <w:name w:val="WW8Num91z0"/>
    <w:qFormat/>
    <w:rPr>
      <w:rFonts w:ascii="Times" w:hAnsi="Times" w:cs="Times"/>
      <w:b w:val="false"/>
      <w:i w:val="false"/>
      <w:sz w:val="24"/>
    </w:rPr>
  </w:style>
  <w:style w:type="character" w:styleId="WW8Num92z0">
    <w:name w:val="WW8Num92z0"/>
    <w:qFormat/>
    <w:rPr>
      <w:rFonts w:ascii="Times" w:hAnsi="Times" w:cs="Times"/>
      <w:b w:val="false"/>
      <w:i w:val="false"/>
      <w:sz w:val="24"/>
    </w:rPr>
  </w:style>
  <w:style w:type="character" w:styleId="WW8Num93z0">
    <w:name w:val="WW8Num93z0"/>
    <w:qFormat/>
    <w:rPr>
      <w:rFonts w:ascii="Times" w:hAnsi="Times" w:cs="Times"/>
      <w:b w:val="false"/>
      <w:i w:val="false"/>
      <w:sz w:val="24"/>
    </w:rPr>
  </w:style>
  <w:style w:type="character" w:styleId="WW8Num94z0">
    <w:name w:val="WW8Num94z0"/>
    <w:qFormat/>
    <w:rPr>
      <w:rFonts w:ascii="Times" w:hAnsi="Times" w:cs="Times"/>
      <w:b w:val="false"/>
      <w:i w:val="false"/>
      <w:sz w:val="24"/>
    </w:rPr>
  </w:style>
  <w:style w:type="character" w:styleId="WW8Num95z0">
    <w:name w:val="WW8Num95z0"/>
    <w:qFormat/>
    <w:rPr>
      <w:rFonts w:ascii="Times" w:hAnsi="Times" w:cs="Times"/>
      <w:b w:val="false"/>
      <w:i w:val="false"/>
      <w:sz w:val="24"/>
    </w:rPr>
  </w:style>
  <w:style w:type="character" w:styleId="WW8Num96z0">
    <w:name w:val="WW8Num96z0"/>
    <w:qFormat/>
    <w:rPr>
      <w:rFonts w:ascii="Times" w:hAnsi="Times" w:cs="Times"/>
      <w:b w:val="false"/>
      <w:i w:val="false"/>
      <w:sz w:val="24"/>
    </w:rPr>
  </w:style>
  <w:style w:type="character" w:styleId="WW8Num97z0">
    <w:name w:val="WW8Num97z0"/>
    <w:qFormat/>
    <w:rPr>
      <w:rFonts w:ascii="Times" w:hAnsi="Times" w:cs="Times"/>
      <w:b w:val="false"/>
      <w:i w:val="false"/>
      <w:sz w:val="24"/>
    </w:rPr>
  </w:style>
  <w:style w:type="character" w:styleId="WW8Num98z0">
    <w:name w:val="WW8Num98z0"/>
    <w:qFormat/>
    <w:rPr>
      <w:rFonts w:ascii="Times" w:hAnsi="Times" w:cs="Times"/>
      <w:b w:val="false"/>
      <w:i w:val="false"/>
      <w:sz w:val="24"/>
    </w:rPr>
  </w:style>
  <w:style w:type="character" w:styleId="WW8Num99z0">
    <w:name w:val="WW8Num99z0"/>
    <w:qFormat/>
    <w:rPr>
      <w:rFonts w:ascii="Times" w:hAnsi="Times" w:cs="Times"/>
      <w:b w:val="false"/>
      <w:i w:val="false"/>
      <w:sz w:val="24"/>
    </w:rPr>
  </w:style>
  <w:style w:type="character" w:styleId="WW8Num100z0">
    <w:name w:val="WW8Num100z0"/>
    <w:qFormat/>
    <w:rPr>
      <w:rFonts w:ascii="Times" w:hAnsi="Times" w:cs="Times"/>
      <w:b w:val="false"/>
      <w:i w:val="false"/>
      <w:sz w:val="24"/>
    </w:rPr>
  </w:style>
  <w:style w:type="character" w:styleId="WW8Num101z0">
    <w:name w:val="WW8Num101z0"/>
    <w:qFormat/>
    <w:rPr>
      <w:rFonts w:ascii="Times" w:hAnsi="Times" w:cs="Times"/>
      <w:b w:val="false"/>
      <w:i w:val="false"/>
      <w:sz w:val="24"/>
    </w:rPr>
  </w:style>
  <w:style w:type="character" w:styleId="WW8Num102z0">
    <w:name w:val="WW8Num102z0"/>
    <w:qFormat/>
    <w:rPr>
      <w:rFonts w:ascii="Times" w:hAnsi="Times" w:cs="Times"/>
      <w:b w:val="false"/>
      <w:i w:val="false"/>
      <w:sz w:val="24"/>
    </w:rPr>
  </w:style>
  <w:style w:type="character" w:styleId="WW8Num103z0">
    <w:name w:val="WW8Num103z0"/>
    <w:qFormat/>
    <w:rPr>
      <w:rFonts w:ascii="Times" w:hAnsi="Times" w:cs="Times"/>
      <w:b w:val="false"/>
      <w:i w:val="false"/>
      <w:sz w:val="24"/>
    </w:rPr>
  </w:style>
  <w:style w:type="character" w:styleId="WW8Num104z0">
    <w:name w:val="WW8Num104z0"/>
    <w:qFormat/>
    <w:rPr>
      <w:rFonts w:ascii="Times" w:hAnsi="Times" w:cs="Times"/>
      <w:b w:val="false"/>
      <w:i w:val="false"/>
      <w:sz w:val="24"/>
    </w:rPr>
  </w:style>
  <w:style w:type="character" w:styleId="WW8Num105z0">
    <w:name w:val="WW8Num105z0"/>
    <w:qFormat/>
    <w:rPr>
      <w:rFonts w:ascii="Times" w:hAnsi="Times" w:cs="Times"/>
      <w:b w:val="false"/>
      <w:i w:val="false"/>
      <w:sz w:val="24"/>
    </w:rPr>
  </w:style>
  <w:style w:type="character" w:styleId="WW8Num106z0">
    <w:name w:val="WW8Num106z0"/>
    <w:qFormat/>
    <w:rPr>
      <w:rFonts w:ascii="Times" w:hAnsi="Times" w:cs="Times"/>
      <w:b w:val="false"/>
      <w:i w:val="false"/>
      <w:sz w:val="24"/>
    </w:rPr>
  </w:style>
  <w:style w:type="character" w:styleId="WW8Num107z0">
    <w:name w:val="WW8Num107z0"/>
    <w:qFormat/>
    <w:rPr>
      <w:rFonts w:ascii="Times" w:hAnsi="Times" w:cs="Times"/>
      <w:b w:val="false"/>
      <w:i w:val="false"/>
      <w:sz w:val="24"/>
    </w:rPr>
  </w:style>
  <w:style w:type="character" w:styleId="WW8Num108z0">
    <w:name w:val="WW8Num108z0"/>
    <w:qFormat/>
    <w:rPr>
      <w:rFonts w:ascii="Times" w:hAnsi="Times" w:cs="Times"/>
      <w:b w:val="false"/>
      <w:i w:val="false"/>
      <w:sz w:val="24"/>
    </w:rPr>
  </w:style>
  <w:style w:type="character" w:styleId="WW8Num109z0">
    <w:name w:val="WW8Num109z0"/>
    <w:qFormat/>
    <w:rPr>
      <w:rFonts w:ascii="Times" w:hAnsi="Times" w:cs="Times"/>
      <w:b w:val="false"/>
      <w:i w:val="false"/>
      <w:sz w:val="24"/>
    </w:rPr>
  </w:style>
  <w:style w:type="character" w:styleId="WW8Num110z0">
    <w:name w:val="WW8Num110z0"/>
    <w:qFormat/>
    <w:rPr>
      <w:rFonts w:ascii="Times" w:hAnsi="Times" w:cs="Times"/>
      <w:b w:val="false"/>
      <w:i w:val="false"/>
      <w:sz w:val="24"/>
    </w:rPr>
  </w:style>
  <w:style w:type="character" w:styleId="WW8Num111z0">
    <w:name w:val="WW8Num111z0"/>
    <w:qFormat/>
    <w:rPr>
      <w:rFonts w:ascii="Times" w:hAnsi="Times" w:cs="Times"/>
      <w:b w:val="false"/>
      <w:i w:val="false"/>
      <w:sz w:val="24"/>
    </w:rPr>
  </w:style>
  <w:style w:type="character" w:styleId="WW8Num112z0">
    <w:name w:val="WW8Num112z0"/>
    <w:qFormat/>
    <w:rPr>
      <w:rFonts w:ascii="Times" w:hAnsi="Times" w:cs="Times"/>
      <w:b w:val="false"/>
      <w:i w:val="false"/>
      <w:sz w:val="24"/>
    </w:rPr>
  </w:style>
  <w:style w:type="character" w:styleId="WW8Num113z0">
    <w:name w:val="WW8Num113z0"/>
    <w:qFormat/>
    <w:rPr>
      <w:rFonts w:ascii="Times" w:hAnsi="Times" w:cs="Times"/>
      <w:b w:val="false"/>
      <w:i w:val="false"/>
      <w:sz w:val="24"/>
    </w:rPr>
  </w:style>
  <w:style w:type="character" w:styleId="WW8Num114z0">
    <w:name w:val="WW8Num114z0"/>
    <w:qFormat/>
    <w:rPr>
      <w:rFonts w:ascii="Times" w:hAnsi="Times" w:cs="Times"/>
      <w:b w:val="false"/>
      <w:i w:val="false"/>
      <w:sz w:val="24"/>
    </w:rPr>
  </w:style>
  <w:style w:type="character" w:styleId="WW8Num115z0">
    <w:name w:val="WW8Num115z0"/>
    <w:qFormat/>
    <w:rPr>
      <w:rFonts w:ascii="Times" w:hAnsi="Times" w:cs="Times"/>
      <w:b w:val="false"/>
      <w:i w:val="false"/>
      <w:sz w:val="24"/>
    </w:rPr>
  </w:style>
  <w:style w:type="character" w:styleId="WW8Num116z0">
    <w:name w:val="WW8Num116z0"/>
    <w:qFormat/>
    <w:rPr>
      <w:rFonts w:ascii="Times" w:hAnsi="Times" w:cs="Times"/>
      <w:b w:val="false"/>
      <w:i w:val="false"/>
      <w:sz w:val="24"/>
    </w:rPr>
  </w:style>
  <w:style w:type="character" w:styleId="WW8Num117z0">
    <w:name w:val="WW8Num117z0"/>
    <w:qFormat/>
    <w:rPr>
      <w:rFonts w:ascii="Times" w:hAnsi="Times" w:cs="Times"/>
      <w:b w:val="false"/>
      <w:i w:val="false"/>
      <w:sz w:val="24"/>
    </w:rPr>
  </w:style>
  <w:style w:type="character" w:styleId="WW8Num118z0">
    <w:name w:val="WW8Num118z0"/>
    <w:qFormat/>
    <w:rPr>
      <w:rFonts w:ascii="Times" w:hAnsi="Times" w:cs="Times"/>
      <w:b w:val="false"/>
      <w:i w:val="false"/>
      <w:sz w:val="24"/>
    </w:rPr>
  </w:style>
  <w:style w:type="character" w:styleId="WW8Num119z0">
    <w:name w:val="WW8Num119z0"/>
    <w:qFormat/>
    <w:rPr>
      <w:rFonts w:ascii="Arial" w:hAnsi="Arial" w:cs="Arial"/>
      <w:b w:val="false"/>
      <w:i w:val="false"/>
      <w:sz w:val="24"/>
    </w:rPr>
  </w:style>
  <w:style w:type="character" w:styleId="WW8Num120z0">
    <w:name w:val="WW8Num120z0"/>
    <w:qFormat/>
    <w:rPr>
      <w:rFonts w:ascii="Times" w:hAnsi="Times" w:cs="Times"/>
      <w:b w:val="false"/>
      <w:i w:val="false"/>
      <w:sz w:val="24"/>
    </w:rPr>
  </w:style>
  <w:style w:type="character" w:styleId="WW8Num121z0">
    <w:name w:val="WW8Num121z0"/>
    <w:qFormat/>
    <w:rPr>
      <w:rFonts w:ascii="Times" w:hAnsi="Times" w:cs="Times"/>
      <w:b w:val="false"/>
      <w:i w:val="false"/>
      <w:sz w:val="24"/>
    </w:rPr>
  </w:style>
  <w:style w:type="character" w:styleId="WW8Num122z0">
    <w:name w:val="WW8Num122z0"/>
    <w:qFormat/>
    <w:rPr/>
  </w:style>
  <w:style w:type="character" w:styleId="WW8Num123z0">
    <w:name w:val="WW8Num123z0"/>
    <w:qFormat/>
    <w:rPr>
      <w:rFonts w:ascii="Times" w:hAnsi="Times" w:cs="Times"/>
      <w:b w:val="false"/>
      <w:i w:val="false"/>
      <w:sz w:val="24"/>
    </w:rPr>
  </w:style>
  <w:style w:type="character" w:styleId="WW8Num124z0">
    <w:name w:val="WW8Num124z0"/>
    <w:qFormat/>
    <w:rPr>
      <w:rFonts w:ascii="Times" w:hAnsi="Times" w:cs="Times"/>
      <w:b w:val="false"/>
      <w:i w:val="false"/>
      <w:sz w:val="24"/>
    </w:rPr>
  </w:style>
  <w:style w:type="character" w:styleId="WW8Num125z0">
    <w:name w:val="WW8Num125z0"/>
    <w:qFormat/>
    <w:rPr>
      <w:rFonts w:ascii="Times" w:hAnsi="Times" w:cs="Times"/>
      <w:b w:val="false"/>
      <w:i w:val="false"/>
      <w:sz w:val="24"/>
    </w:rPr>
  </w:style>
  <w:style w:type="character" w:styleId="WW8Num126z0">
    <w:name w:val="WW8Num126z0"/>
    <w:qFormat/>
    <w:rPr>
      <w:rFonts w:ascii="Times" w:hAnsi="Times" w:cs="Times"/>
      <w:b w:val="false"/>
      <w:i w:val="false"/>
      <w:sz w:val="24"/>
    </w:rPr>
  </w:style>
  <w:style w:type="character" w:styleId="WW8Num127z0">
    <w:name w:val="WW8Num127z0"/>
    <w:qFormat/>
    <w:rPr>
      <w:rFonts w:ascii="Times" w:hAnsi="Times" w:cs="Times"/>
      <w:b w:val="false"/>
      <w:i w:val="false"/>
      <w:sz w:val="24"/>
    </w:rPr>
  </w:style>
  <w:style w:type="character" w:styleId="WW8Num128z0">
    <w:name w:val="WW8Num128z0"/>
    <w:qFormat/>
    <w:rPr>
      <w:rFonts w:ascii="Times" w:hAnsi="Times" w:cs="Times"/>
      <w:b w:val="false"/>
      <w:i w:val="false"/>
      <w:sz w:val="24"/>
    </w:rPr>
  </w:style>
  <w:style w:type="character" w:styleId="WW8Num129z0">
    <w:name w:val="WW8Num129z0"/>
    <w:qFormat/>
    <w:rPr>
      <w:rFonts w:ascii="Times" w:hAnsi="Times" w:cs="Times"/>
      <w:b w:val="false"/>
      <w:i w:val="false"/>
      <w:sz w:val="24"/>
    </w:rPr>
  </w:style>
  <w:style w:type="character" w:styleId="WW8Num130z0">
    <w:name w:val="WW8Num130z0"/>
    <w:qFormat/>
    <w:rPr>
      <w:rFonts w:ascii="Times" w:hAnsi="Times" w:cs="Times"/>
      <w:b w:val="false"/>
      <w:i w:val="false"/>
      <w:sz w:val="24"/>
    </w:rPr>
  </w:style>
  <w:style w:type="character" w:styleId="WW8Num131z0">
    <w:name w:val="WW8Num131z0"/>
    <w:qFormat/>
    <w:rPr>
      <w:rFonts w:ascii="Times" w:hAnsi="Times" w:cs="Times"/>
      <w:b w:val="false"/>
      <w:i w:val="false"/>
      <w:sz w:val="24"/>
    </w:rPr>
  </w:style>
  <w:style w:type="character" w:styleId="WW8Num132z0">
    <w:name w:val="WW8Num132z0"/>
    <w:qFormat/>
    <w:rPr>
      <w:rFonts w:ascii="Times" w:hAnsi="Times" w:cs="Times"/>
      <w:b w:val="false"/>
      <w:i w:val="false"/>
      <w:sz w:val="24"/>
    </w:rPr>
  </w:style>
  <w:style w:type="character" w:styleId="WW8Num133z0">
    <w:name w:val="WW8Num133z0"/>
    <w:qFormat/>
    <w:rPr>
      <w:rFonts w:ascii="Times" w:hAnsi="Times" w:cs="Times"/>
      <w:b w:val="false"/>
      <w:i w:val="false"/>
      <w:sz w:val="24"/>
    </w:rPr>
  </w:style>
  <w:style w:type="character" w:styleId="WW8Num134z0">
    <w:name w:val="WW8Num134z0"/>
    <w:qFormat/>
    <w:rPr>
      <w:rFonts w:ascii="Times" w:hAnsi="Times" w:cs="Times"/>
      <w:b w:val="false"/>
      <w:i w:val="false"/>
      <w:sz w:val="24"/>
    </w:rPr>
  </w:style>
  <w:style w:type="character" w:styleId="WW8Num135z0">
    <w:name w:val="WW8Num135z0"/>
    <w:qFormat/>
    <w:rPr>
      <w:rFonts w:ascii="Times" w:hAnsi="Times" w:cs="Times"/>
      <w:b w:val="false"/>
      <w:i w:val="false"/>
      <w:sz w:val="24"/>
    </w:rPr>
  </w:style>
  <w:style w:type="character" w:styleId="WW8Num136z0">
    <w:name w:val="WW8Num136z0"/>
    <w:qFormat/>
    <w:rPr>
      <w:rFonts w:ascii="Times" w:hAnsi="Times" w:cs="Times"/>
      <w:b w:val="false"/>
      <w:i w:val="false"/>
      <w:sz w:val="24"/>
    </w:rPr>
  </w:style>
  <w:style w:type="character" w:styleId="WW8Num137z0">
    <w:name w:val="WW8Num137z0"/>
    <w:qFormat/>
    <w:rPr>
      <w:rFonts w:ascii="Times" w:hAnsi="Times" w:cs="Times"/>
      <w:b w:val="false"/>
      <w:i w:val="false"/>
      <w:sz w:val="24"/>
    </w:rPr>
  </w:style>
  <w:style w:type="character" w:styleId="WW8Num138z0">
    <w:name w:val="WW8Num138z0"/>
    <w:qFormat/>
    <w:rPr>
      <w:rFonts w:ascii="Times" w:hAnsi="Times" w:cs="Times"/>
      <w:b w:val="false"/>
      <w:i w:val="false"/>
      <w:sz w:val="24"/>
    </w:rPr>
  </w:style>
  <w:style w:type="character" w:styleId="WW8Num139z0">
    <w:name w:val="WW8Num139z0"/>
    <w:qFormat/>
    <w:rPr>
      <w:rFonts w:ascii="Times" w:hAnsi="Times" w:cs="Times"/>
      <w:b w:val="false"/>
      <w:i w:val="false"/>
      <w:sz w:val="24"/>
    </w:rPr>
  </w:style>
  <w:style w:type="character" w:styleId="WW8Num140z0">
    <w:name w:val="WW8Num140z0"/>
    <w:qFormat/>
    <w:rPr>
      <w:rFonts w:ascii="Times" w:hAnsi="Times" w:cs="Times"/>
      <w:b w:val="false"/>
      <w:i w:val="false"/>
      <w:sz w:val="24"/>
    </w:rPr>
  </w:style>
  <w:style w:type="character" w:styleId="WW8Num141z0">
    <w:name w:val="WW8Num141z0"/>
    <w:qFormat/>
    <w:rPr>
      <w:rFonts w:ascii="Times" w:hAnsi="Times" w:cs="Times"/>
      <w:b w:val="false"/>
      <w:i w:val="false"/>
      <w:sz w:val="24"/>
    </w:rPr>
  </w:style>
  <w:style w:type="character" w:styleId="WW8Num142z0">
    <w:name w:val="WW8Num142z0"/>
    <w:qFormat/>
    <w:rPr>
      <w:rFonts w:ascii="Century Schoolbook" w:hAnsi="Century Schoolbook" w:cs="Century Schoolbook"/>
      <w:b w:val="false"/>
      <w:i w:val="false"/>
      <w:sz w:val="24"/>
    </w:rPr>
  </w:style>
  <w:style w:type="character" w:styleId="WW8Num143z0">
    <w:name w:val="WW8Num143z0"/>
    <w:qFormat/>
    <w:rPr>
      <w:rFonts w:ascii="Times" w:hAnsi="Times" w:cs="Times"/>
      <w:b w:val="false"/>
      <w:i w:val="false"/>
      <w:sz w:val="24"/>
    </w:rPr>
  </w:style>
  <w:style w:type="character" w:styleId="WW8Num144z0">
    <w:name w:val="WW8Num144z0"/>
    <w:qFormat/>
    <w:rPr>
      <w:rFonts w:ascii="Times" w:hAnsi="Times" w:cs="Times"/>
      <w:b w:val="false"/>
      <w:i w:val="false"/>
      <w:sz w:val="24"/>
    </w:rPr>
  </w:style>
  <w:style w:type="character" w:styleId="WW8Num145z0">
    <w:name w:val="WW8Num145z0"/>
    <w:qFormat/>
    <w:rPr>
      <w:rFonts w:ascii="Times" w:hAnsi="Times" w:cs="Times"/>
      <w:b w:val="false"/>
      <w:i w:val="false"/>
      <w:sz w:val="24"/>
    </w:rPr>
  </w:style>
  <w:style w:type="character" w:styleId="WW8Num146z0">
    <w:name w:val="WW8Num146z0"/>
    <w:qFormat/>
    <w:rPr>
      <w:rFonts w:ascii="Times" w:hAnsi="Times" w:cs="Times"/>
      <w:b w:val="false"/>
      <w:i w:val="false"/>
      <w:sz w:val="24"/>
    </w:rPr>
  </w:style>
  <w:style w:type="character" w:styleId="WW8Num147z0">
    <w:name w:val="WW8Num147z0"/>
    <w:qFormat/>
    <w:rPr>
      <w:rFonts w:ascii="Times" w:hAnsi="Times" w:cs="Times"/>
      <w:b w:val="false"/>
      <w:i w:val="false"/>
      <w:sz w:val="24"/>
    </w:rPr>
  </w:style>
  <w:style w:type="character" w:styleId="WW8Num148z0">
    <w:name w:val="WW8Num148z0"/>
    <w:qFormat/>
    <w:rPr>
      <w:rFonts w:ascii="Times" w:hAnsi="Times" w:cs="Times"/>
      <w:b w:val="false"/>
      <w:i w:val="false"/>
      <w:sz w:val="24"/>
    </w:rPr>
  </w:style>
  <w:style w:type="character" w:styleId="WW8Num149z0">
    <w:name w:val="WW8Num149z0"/>
    <w:qFormat/>
    <w:rPr>
      <w:rFonts w:ascii="Times" w:hAnsi="Times" w:cs="Times"/>
      <w:b w:val="false"/>
      <w:i w:val="false"/>
      <w:sz w:val="24"/>
    </w:rPr>
  </w:style>
  <w:style w:type="character" w:styleId="WW8Num150z0">
    <w:name w:val="WW8Num150z0"/>
    <w:qFormat/>
    <w:rPr>
      <w:rFonts w:ascii="Times" w:hAnsi="Times" w:cs="Times"/>
      <w:b w:val="false"/>
      <w:i w:val="false"/>
      <w:sz w:val="24"/>
    </w:rPr>
  </w:style>
  <w:style w:type="character" w:styleId="WW8Num151z0">
    <w:name w:val="WW8Num151z0"/>
    <w:qFormat/>
    <w:rPr>
      <w:rFonts w:ascii="Times" w:hAnsi="Times" w:cs="Times"/>
      <w:b w:val="false"/>
      <w:i w:val="false"/>
      <w:sz w:val="24"/>
    </w:rPr>
  </w:style>
  <w:style w:type="character" w:styleId="WW8Num152z0">
    <w:name w:val="WW8Num152z0"/>
    <w:qFormat/>
    <w:rPr>
      <w:rFonts w:ascii="Times" w:hAnsi="Times" w:cs="Times"/>
      <w:b w:val="false"/>
      <w:i w:val="false"/>
      <w:sz w:val="24"/>
    </w:rPr>
  </w:style>
  <w:style w:type="character" w:styleId="WW8Num153z0">
    <w:name w:val="WW8Num153z0"/>
    <w:qFormat/>
    <w:rPr>
      <w:rFonts w:ascii="Times" w:hAnsi="Times" w:cs="Times"/>
      <w:b w:val="false"/>
      <w:i w:val="false"/>
      <w:sz w:val="24"/>
    </w:rPr>
  </w:style>
  <w:style w:type="character" w:styleId="WW8Num154z0">
    <w:name w:val="WW8Num154z0"/>
    <w:qFormat/>
    <w:rPr>
      <w:rFonts w:ascii="Century Schoolbook" w:hAnsi="Century Schoolbook" w:cs="Century Schoolbook"/>
      <w:b w:val="false"/>
      <w:i w:val="false"/>
      <w:sz w:val="24"/>
    </w:rPr>
  </w:style>
  <w:style w:type="character" w:styleId="WW8Num155z0">
    <w:name w:val="WW8Num155z0"/>
    <w:qFormat/>
    <w:rPr>
      <w:rFonts w:ascii="Times" w:hAnsi="Times" w:cs="Times"/>
      <w:b w:val="false"/>
      <w:i w:val="false"/>
      <w:sz w:val="24"/>
    </w:rPr>
  </w:style>
  <w:style w:type="character" w:styleId="WW8Num156z0">
    <w:name w:val="WW8Num156z0"/>
    <w:qFormat/>
    <w:rPr>
      <w:rFonts w:ascii="Times" w:hAnsi="Times" w:cs="Times"/>
      <w:b w:val="false"/>
      <w:i w:val="false"/>
      <w:sz w:val="24"/>
    </w:rPr>
  </w:style>
  <w:style w:type="character" w:styleId="WW8Num157z0">
    <w:name w:val="WW8Num157z0"/>
    <w:qFormat/>
    <w:rPr>
      <w:rFonts w:ascii="Times" w:hAnsi="Times" w:cs="Times"/>
      <w:b w:val="false"/>
      <w:i w:val="false"/>
      <w:sz w:val="24"/>
    </w:rPr>
  </w:style>
  <w:style w:type="character" w:styleId="WW8Num158z0">
    <w:name w:val="WW8Num158z0"/>
    <w:qFormat/>
    <w:rPr>
      <w:rFonts w:ascii="Times" w:hAnsi="Times" w:cs="Times"/>
      <w:b w:val="false"/>
      <w:i w:val="false"/>
      <w:sz w:val="24"/>
    </w:rPr>
  </w:style>
  <w:style w:type="character" w:styleId="WW8Num159z0">
    <w:name w:val="WW8Num159z0"/>
    <w:qFormat/>
    <w:rPr>
      <w:rFonts w:ascii="Times" w:hAnsi="Times" w:cs="Times"/>
      <w:b w:val="false"/>
      <w:i w:val="false"/>
      <w:sz w:val="24"/>
    </w:rPr>
  </w:style>
  <w:style w:type="character" w:styleId="WW8Num160z0">
    <w:name w:val="WW8Num160z0"/>
    <w:qFormat/>
    <w:rPr>
      <w:rFonts w:ascii="Times" w:hAnsi="Times" w:cs="Times"/>
      <w:b w:val="false"/>
      <w:i w:val="false"/>
      <w:sz w:val="24"/>
    </w:rPr>
  </w:style>
  <w:style w:type="character" w:styleId="WW8Num161z0">
    <w:name w:val="WW8Num161z0"/>
    <w:qFormat/>
    <w:rPr>
      <w:rFonts w:ascii="Times" w:hAnsi="Times" w:cs="Times"/>
      <w:b w:val="false"/>
      <w:i w:val="false"/>
      <w:sz w:val="24"/>
    </w:rPr>
  </w:style>
  <w:style w:type="character" w:styleId="WW8Num162z0">
    <w:name w:val="WW8Num162z0"/>
    <w:qFormat/>
    <w:rPr>
      <w:rFonts w:ascii="Times" w:hAnsi="Times" w:cs="Times"/>
      <w:b w:val="false"/>
      <w:i w:val="false"/>
      <w:sz w:val="24"/>
    </w:rPr>
  </w:style>
  <w:style w:type="character" w:styleId="WW8Num163z0">
    <w:name w:val="WW8Num163z0"/>
    <w:qFormat/>
    <w:rPr>
      <w:rFonts w:ascii="Times" w:hAnsi="Times" w:cs="Times"/>
      <w:b w:val="false"/>
      <w:i w:val="false"/>
      <w:sz w:val="24"/>
    </w:rPr>
  </w:style>
  <w:style w:type="character" w:styleId="WW8Num164z0">
    <w:name w:val="WW8Num164z0"/>
    <w:qFormat/>
    <w:rPr>
      <w:rFonts w:ascii="Times" w:hAnsi="Times" w:cs="Times"/>
      <w:b w:val="false"/>
      <w:i w:val="false"/>
      <w:sz w:val="24"/>
    </w:rPr>
  </w:style>
  <w:style w:type="character" w:styleId="WW8Num165z0">
    <w:name w:val="WW8Num165z0"/>
    <w:qFormat/>
    <w:rPr>
      <w:rFonts w:ascii="Times" w:hAnsi="Times" w:cs="Times"/>
      <w:b w:val="false"/>
      <w:i w:val="false"/>
      <w:sz w:val="24"/>
    </w:rPr>
  </w:style>
  <w:style w:type="character" w:styleId="WW8Num166z0">
    <w:name w:val="WW8Num166z0"/>
    <w:qFormat/>
    <w:rPr>
      <w:rFonts w:ascii="Times" w:hAnsi="Times" w:cs="Times"/>
      <w:b w:val="false"/>
      <w:i w:val="false"/>
      <w:sz w:val="24"/>
    </w:rPr>
  </w:style>
  <w:style w:type="character" w:styleId="WW8Num167z0">
    <w:name w:val="WW8Num167z0"/>
    <w:qFormat/>
    <w:rPr>
      <w:rFonts w:ascii="Times" w:hAnsi="Times" w:cs="Times"/>
      <w:b w:val="false"/>
      <w:i w:val="false"/>
      <w:sz w:val="24"/>
    </w:rPr>
  </w:style>
  <w:style w:type="character" w:styleId="WW8Num168z0">
    <w:name w:val="WW8Num168z0"/>
    <w:qFormat/>
    <w:rPr>
      <w:rFonts w:ascii="Times" w:hAnsi="Times" w:cs="Times"/>
      <w:b w:val="false"/>
      <w:i w:val="false"/>
      <w:sz w:val="24"/>
    </w:rPr>
  </w:style>
  <w:style w:type="character" w:styleId="WW8Num169z0">
    <w:name w:val="WW8Num169z0"/>
    <w:qFormat/>
    <w:rPr>
      <w:rFonts w:ascii="Times" w:hAnsi="Times" w:cs="Times"/>
      <w:b w:val="false"/>
      <w:i w:val="false"/>
      <w:sz w:val="24"/>
    </w:rPr>
  </w:style>
  <w:style w:type="character" w:styleId="WW8Num170z0">
    <w:name w:val="WW8Num170z0"/>
    <w:qFormat/>
    <w:rPr>
      <w:rFonts w:ascii="Times" w:hAnsi="Times" w:cs="Times"/>
      <w:b w:val="false"/>
      <w:i w:val="false"/>
      <w:sz w:val="24"/>
    </w:rPr>
  </w:style>
  <w:style w:type="character" w:styleId="WW8Num171z0">
    <w:name w:val="WW8Num171z0"/>
    <w:qFormat/>
    <w:rPr>
      <w:rFonts w:ascii="Times" w:hAnsi="Times" w:cs="Times"/>
      <w:b w:val="false"/>
      <w:i w:val="false"/>
      <w:sz w:val="24"/>
    </w:rPr>
  </w:style>
  <w:style w:type="character" w:styleId="WW8Num172z0">
    <w:name w:val="WW8Num172z0"/>
    <w:qFormat/>
    <w:rPr>
      <w:rFonts w:ascii="Times" w:hAnsi="Times" w:cs="Times"/>
      <w:b w:val="false"/>
      <w:i w:val="false"/>
      <w:sz w:val="24"/>
    </w:rPr>
  </w:style>
  <w:style w:type="character" w:styleId="WW8Num173z0">
    <w:name w:val="WW8Num173z0"/>
    <w:qFormat/>
    <w:rPr>
      <w:rFonts w:ascii="Times" w:hAnsi="Times" w:cs="Times"/>
      <w:b w:val="false"/>
      <w:i w:val="false"/>
      <w:sz w:val="24"/>
    </w:rPr>
  </w:style>
  <w:style w:type="character" w:styleId="WW8Num174z0">
    <w:name w:val="WW8Num174z0"/>
    <w:qFormat/>
    <w:rPr>
      <w:rFonts w:ascii="Times" w:hAnsi="Times" w:cs="Times"/>
      <w:b w:val="false"/>
      <w:i w:val="false"/>
      <w:sz w:val="24"/>
    </w:rPr>
  </w:style>
  <w:style w:type="character" w:styleId="WW8Num175z0">
    <w:name w:val="WW8Num175z0"/>
    <w:qFormat/>
    <w:rPr>
      <w:rFonts w:ascii="Times" w:hAnsi="Times" w:cs="Times"/>
      <w:b w:val="false"/>
      <w:i w:val="false"/>
      <w:sz w:val="24"/>
    </w:rPr>
  </w:style>
  <w:style w:type="character" w:styleId="WW8Num176z0">
    <w:name w:val="WW8Num176z0"/>
    <w:qFormat/>
    <w:rPr>
      <w:rFonts w:ascii="Century Schoolbook" w:hAnsi="Century Schoolbook" w:cs="Century Schoolbook"/>
      <w:b w:val="false"/>
      <w:i w:val="false"/>
      <w:sz w:val="24"/>
    </w:rPr>
  </w:style>
  <w:style w:type="character" w:styleId="WW8Num177z0">
    <w:name w:val="WW8Num177z0"/>
    <w:qFormat/>
    <w:rPr>
      <w:rFonts w:ascii="Times" w:hAnsi="Times" w:cs="Times"/>
      <w:b w:val="false"/>
      <w:i w:val="false"/>
      <w:sz w:val="24"/>
    </w:rPr>
  </w:style>
  <w:style w:type="character" w:styleId="WW8Num178z0">
    <w:name w:val="WW8Num178z0"/>
    <w:qFormat/>
    <w:rPr>
      <w:rFonts w:ascii="Times" w:hAnsi="Times" w:cs="Times"/>
      <w:b w:val="false"/>
      <w:i w:val="false"/>
      <w:sz w:val="24"/>
    </w:rPr>
  </w:style>
  <w:style w:type="character" w:styleId="WW8Num179z0">
    <w:name w:val="WW8Num179z0"/>
    <w:qFormat/>
    <w:rPr>
      <w:rFonts w:ascii="Times" w:hAnsi="Times" w:cs="Times"/>
      <w:b w:val="false"/>
      <w:i w:val="false"/>
      <w:sz w:val="24"/>
    </w:rPr>
  </w:style>
  <w:style w:type="character" w:styleId="DefaultParagraphFont">
    <w:name w:val="Default Paragraph Font"/>
    <w:qFormat/>
    <w:rPr/>
  </w:style>
  <w:style w:type="character" w:styleId="PageNumber">
    <w:name w:val="page number"/>
    <w:basedOn w:val="DefaultParagraphFont"/>
    <w:rPr>
      <w:rFonts w:ascii="Century Schoolbook" w:hAnsi="Century Schoolbook" w:cs="Century Schoolbook"/>
      <w:position w:val="0"/>
      <w:sz w:val="24"/>
      <w:sz w:val="24"/>
      <w:vertAlign w:val="baseline"/>
      <w:lang w:val="en-US"/>
    </w:rPr>
  </w:style>
  <w:style w:type="character" w:styleId="LineNumber">
    <w:name w:val="line number"/>
    <w:basedOn w:val="DefaultParagraphFont"/>
    <w:rPr>
      <w:rFonts w:ascii="Arial" w:hAnsi="Arial" w:cs="Arial"/>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240" w:after="0"/>
      <w:jc w:val="center"/>
    </w:pPr>
    <w:rPr>
      <w:rFonts w:ascii="CG Omega" w:hAnsi="CG Omega" w:cs="CG Omega"/>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Question">
    <w:name w:val="Normal (Question)"/>
    <w:next w:val="Normal"/>
    <w:qFormat/>
    <w:pPr>
      <w:widowControl/>
      <w:numPr>
        <w:ilvl w:val="0"/>
        <w:numId w:val="30"/>
      </w:numPr>
      <w:bidi w:val="0"/>
      <w:spacing w:lineRule="auto" w:line="480"/>
    </w:pPr>
    <w:rPr>
      <w:rFonts w:ascii="Arial" w:hAnsi="Arial" w:eastAsia="Times New Roman" w:cs="Arial"/>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pPr>
      <w:widowControl/>
      <w:bidi w:val="0"/>
    </w:pPr>
    <w:rPr>
      <w:rFonts w:ascii="CG Omega" w:hAnsi="CG Omega" w:eastAsia="Times New Roman" w:cs="CG Omega"/>
      <w:color w:val="auto"/>
      <w:sz w:val="18"/>
      <w:szCs w:val="20"/>
      <w:lang w:val="en-US" w:bidi="ar-SA" w:eastAsia="zh-CN"/>
    </w:rPr>
  </w:style>
  <w:style w:type="paragraph" w:styleId="Footer">
    <w:name w:val="footer"/>
    <w:pPr>
      <w:widowControl/>
      <w:bidi w:val="0"/>
    </w:pPr>
    <w:rPr>
      <w:rFonts w:ascii="CG Omega" w:hAnsi="CG Omega" w:eastAsia="Times New Roman" w:cs="CG Omega"/>
      <w:color w:val="auto"/>
      <w:sz w:val="18"/>
      <w:szCs w:val="20"/>
      <w:lang w:val="en-US" w:bidi="ar-SA" w:eastAsia="zh-CN"/>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NormalAnswer">
    <w:name w:val="Normal (Answer)"/>
    <w:basedOn w:val="NormalQuestion"/>
    <w:next w:val="Normal"/>
    <w:qFormat/>
    <w:pPr/>
    <w:rPr/>
  </w:style>
  <w:style w:type="paragraph" w:styleId="FootnoteText">
    <w:name w:val="footnote text"/>
    <w:basedOn w:val="Normal"/>
    <w:pPr>
      <w:tabs>
        <w:tab w:val="clear" w:pos="720"/>
        <w:tab w:val="left" w:pos="432" w:leader="none"/>
        <w:tab w:val="left" w:pos="864" w:leader="none"/>
      </w:tabs>
      <w:spacing w:lineRule="auto" w:line="240"/>
      <w:jc w:val="both"/>
    </w:pPr>
    <w:rPr>
      <w:rFonts w:ascii="Arial" w:hAnsi="Arial" w:cs="Arial"/>
      <w:sz w:val="20"/>
    </w:rPr>
  </w:style>
  <w:style w:type="paragraph" w:styleId="MessageHeader">
    <w:name w:val="Message Header"/>
    <w:basedOn w:val="Normal"/>
    <w:qFormat/>
    <w:pPr>
      <w:ind w:hanging="1080" w:start="1080" w:end="0"/>
    </w:pPr>
    <w:rPr>
      <w:rFonts w:ascii="CG Omega" w:hAnsi="CG Omega" w:cs="CG Omega"/>
    </w:rPr>
  </w:style>
  <w:style w:type="paragraph" w:styleId="Subtitle">
    <w:name w:val="Subtitle"/>
    <w:basedOn w:val="Normal"/>
    <w:next w:val="BodyText"/>
    <w:qFormat/>
    <w:pPr>
      <w:jc w:val="center"/>
    </w:pPr>
    <w:rPr>
      <w:rFonts w:ascii="CG Omega" w:hAnsi="CG Omega" w:cs="CG Omega"/>
      <w:i/>
    </w:rPr>
  </w:style>
  <w:style w:type="paragraph" w:styleId="TOAHeading">
    <w:name w:val="TOA Heading"/>
    <w:basedOn w:val="Normal"/>
    <w:next w:val="Normal"/>
    <w:qFormat/>
    <w:pPr>
      <w:spacing w:before="120" w:after="0"/>
    </w:pPr>
    <w:rPr>
      <w:rFonts w:ascii="CG Omega" w:hAnsi="CG Omega" w:cs="CG Omega"/>
      <w:b/>
    </w:rPr>
  </w:style>
  <w:style w:type="paragraph" w:styleId="TOC9">
    <w:name w:val="toc 9"/>
    <w:basedOn w:val="Normal"/>
    <w:next w:val="Normal"/>
    <w:pPr>
      <w:tabs>
        <w:tab w:val="clear" w:pos="720"/>
        <w:tab w:val="right" w:pos="9360" w:leader="dot"/>
      </w:tabs>
      <w:ind w:hanging="0" w:start="1920" w:end="0"/>
    </w:pPr>
    <w:rPr/>
  </w:style>
  <w:style w:type="paragraph" w:styleId="BodyTextIndent2">
    <w:name w:val="Body Text Indent 2"/>
    <w:basedOn w:val="Normal"/>
    <w:qFormat/>
    <w:pPr>
      <w:tabs>
        <w:tab w:val="left" w:pos="72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pPr>
    <w:rPr>
      <w:rFonts w:ascii="Arial" w:hAnsi="Arial" w:cs="Arial"/>
      <w:kern w:val="2"/>
      <w:sz w:val="22"/>
    </w:rPr>
  </w:style>
  <w:style w:type="paragraph" w:styleId="BodyTextIndent3">
    <w:name w:val="Body Text Indent 3"/>
    <w:basedOn w:val="Normal"/>
    <w:qFormat/>
    <w:pPr>
      <w:tabs>
        <w:tab w:val="left" w:pos="72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pPr>
    <w:rPr>
      <w:rFonts w:ascii="Arial" w:hAnsi="Arial" w:cs="Arial"/>
      <w:b/>
      <w:kern w:val="2"/>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Q&amp;a_test.dot</Template>
  <TotalTime>149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2001-08-25T17:14:00Z</dcterms:created>
  <dc:creator>Scott Jones</dc:creator>
  <dc:description/>
  <dc:language>en-CA</dc:language>
  <cp:lastModifiedBy>Charles Varner</cp:lastModifiedBy>
  <cp:lastPrinted>2001-08-25T16:52:00Z</cp:lastPrinted>
  <dcterms:modified xsi:type="dcterms:W3CDTF">2001-08-25T20:43:00Z</dcterms:modified>
  <cp:revision>46</cp:revision>
  <dc:subject/>
  <dc:title>ERG Q&amp;A-style Testimony</dc:title>
</cp:coreProperties>
</file>