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 SHEET OUTLINE</w:t>
      </w:r>
    </w:p>
    <w:p>
      <w:pPr>
        <w:pStyle w:val="Normal"/>
        <w:jc w:val="center"/>
        <w:rPr>
          <w:b/>
          <w:bCs/>
        </w:rPr>
      </w:pPr>
      <w:r>
        <w:rPr>
          <w:b/>
          <w:bCs/>
        </w:rPr>
      </w:r>
    </w:p>
    <w:p>
      <w:pPr>
        <w:pStyle w:val="Normal"/>
        <w:jc w:val="center"/>
        <w:rPr>
          <w:b/>
          <w:bCs/>
        </w:rPr>
      </w:pPr>
      <w:r>
        <w:rPr>
          <w:b/>
          <w:bCs/>
        </w:rPr>
        <w:t>Between</w:t>
      </w:r>
    </w:p>
    <w:p>
      <w:pPr>
        <w:pStyle w:val="Normal"/>
        <w:jc w:val="center"/>
        <w:rPr>
          <w:b/>
          <w:bCs/>
        </w:rPr>
      </w:pPr>
      <w:r>
        <w:rPr>
          <w:b/>
          <w:bCs/>
        </w:rPr>
        <w:t>DQ Power</w:t>
      </w:r>
    </w:p>
    <w:p>
      <w:pPr>
        <w:pStyle w:val="Normal"/>
        <w:jc w:val="center"/>
        <w:rPr>
          <w:b/>
          <w:bCs/>
        </w:rPr>
      </w:pPr>
      <w:r>
        <w:rPr>
          <w:b/>
          <w:bCs/>
        </w:rPr>
        <w:t xml:space="preserve">And </w:t>
      </w:r>
    </w:p>
    <w:p>
      <w:pPr>
        <w:pStyle w:val="Normal"/>
        <w:jc w:val="center"/>
        <w:rPr>
          <w:b/>
          <w:bCs/>
        </w:rPr>
      </w:pPr>
      <w:r>
        <w:rPr>
          <w:b/>
          <w:bCs/>
        </w:rPr>
        <w:t>Enron North America</w:t>
      </w:r>
    </w:p>
    <w:p>
      <w:pPr>
        <w:pStyle w:val="Normal"/>
        <w:rPr>
          <w:b/>
          <w:bCs/>
        </w:rPr>
      </w:pPr>
      <w:r>
        <w:rPr>
          <w:b/>
          <w:bCs/>
        </w:rPr>
      </w:r>
    </w:p>
    <w:p>
      <w:pPr>
        <w:pStyle w:val="Heading1"/>
        <w:ind w:hanging="0" w:start="0"/>
        <w:rPr>
          <w:sz w:val="22"/>
        </w:rPr>
      </w:pPr>
      <w:r>
        <w:rPr>
          <w:b w:val="false"/>
          <w:bCs w:val="false"/>
          <w:sz w:val="22"/>
        </w:rPr>
        <w:t>This term sheet is being provided as a general outline to further discussions regarding a proposal for Enron North America (ENA) to sell gas to fuel DQ Power’s proposed generation facility (“Facility”) located NW of Grantsville, UT.</w:t>
      </w:r>
    </w:p>
    <w:p>
      <w:pPr>
        <w:pStyle w:val="Normal"/>
        <w:rPr>
          <w:b/>
          <w:bCs/>
          <w:sz w:val="22"/>
        </w:rPr>
      </w:pPr>
      <w:r>
        <w:rPr>
          <w:b/>
          <w:bCs/>
          <w:sz w:val="22"/>
        </w:rPr>
      </w:r>
    </w:p>
    <w:p>
      <w:pPr>
        <w:pStyle w:val="Normal"/>
        <w:rPr>
          <w:rFonts w:ascii="Arial" w:hAnsi="Arial" w:cs="Arial"/>
          <w:b/>
          <w:bCs/>
          <w:sz w:val="18"/>
        </w:rPr>
      </w:pPr>
      <w:r>
        <w:rPr>
          <w:rFonts w:cs="Arial" w:ascii="Arial" w:hAnsi="Arial"/>
          <w:b/>
          <w:bCs/>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Seller:</w:t>
            </w:r>
          </w:p>
        </w:tc>
        <w:tc>
          <w:tcPr>
            <w:tcW w:w="8190" w:type="dxa"/>
            <w:tcBorders/>
          </w:tcPr>
          <w:p>
            <w:pPr>
              <w:pStyle w:val="Normal"/>
              <w:rPr>
                <w:sz w:val="22"/>
              </w:rPr>
            </w:pPr>
            <w:r>
              <w:rPr>
                <w:sz w:val="22"/>
              </w:rPr>
              <w:t>ENA</w:t>
            </w:r>
            <w:r>
              <w:rPr>
                <w:sz w:val="22"/>
              </w:rPr>
              <w:fldChar w:fldCharType="begin"/>
            </w:r>
            <w:r>
              <w:rPr>
                <w:sz w:val="22"/>
              </w:rPr>
              <w:instrText xml:space="preserve"> MERGEFIELD SellerName </w:instrText>
            </w:r>
            <w:r>
              <w:rPr>
                <w:sz w:val="22"/>
              </w:rPr>
              <w:fldChar w:fldCharType="separate"/>
            </w:r>
            <w:r>
              <w:rPr>
                <w:sz w:val="22"/>
              </w:rPr>
            </w:r>
            <w:r>
              <w:rPr>
                <w:sz w:val="22"/>
              </w:rPr>
              <w:fldChar w:fldCharType="end"/>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Buyer:</w:t>
            </w:r>
          </w:p>
        </w:tc>
        <w:tc>
          <w:tcPr>
            <w:tcW w:w="8190" w:type="dxa"/>
            <w:tcBorders/>
          </w:tcPr>
          <w:p>
            <w:pPr>
              <w:pStyle w:val="Normal"/>
              <w:rPr>
                <w:sz w:val="22"/>
              </w:rPr>
            </w:pPr>
            <w:r>
              <w:rPr>
                <w:sz w:val="22"/>
              </w:rPr>
              <w:t>DQ Power</w:t>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Product:</w:t>
            </w:r>
          </w:p>
        </w:tc>
        <w:tc>
          <w:tcPr>
            <w:tcW w:w="8190" w:type="dxa"/>
            <w:tcBorders/>
          </w:tcPr>
          <w:p>
            <w:pPr>
              <w:pStyle w:val="Normal"/>
              <w:rPr>
                <w:sz w:val="22"/>
              </w:rPr>
            </w:pPr>
            <w:r>
              <w:rPr>
                <w:sz w:val="22"/>
              </w:rPr>
              <w:t>Natural Gas</w:t>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Contract Quantity:</w:t>
            </w:r>
          </w:p>
        </w:tc>
        <w:tc>
          <w:tcPr>
            <w:tcW w:w="8190" w:type="dxa"/>
            <w:tcBorders/>
          </w:tcPr>
          <w:p>
            <w:pPr>
              <w:pStyle w:val="Normal"/>
              <w:snapToGrid w:val="false"/>
              <w:rPr>
                <w:sz w:val="22"/>
              </w:rPr>
            </w:pPr>
            <w:r>
              <w:rPr>
                <w:sz w:val="22"/>
              </w:rPr>
            </w:r>
          </w:p>
          <w:p>
            <w:pPr>
              <w:pStyle w:val="Normal"/>
              <w:rPr>
                <w:sz w:val="22"/>
              </w:rPr>
            </w:pPr>
            <w:r>
              <w:rPr>
                <w:sz w:val="22"/>
              </w:rPr>
              <w:t>Approximately 15,000 MMBtu per day</w:t>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Delivery Point:</w:t>
            </w:r>
          </w:p>
        </w:tc>
        <w:tc>
          <w:tcPr>
            <w:tcW w:w="8190" w:type="dxa"/>
            <w:tcBorders/>
          </w:tcPr>
          <w:p>
            <w:pPr>
              <w:pStyle w:val="Normal"/>
              <w:rPr>
                <w:sz w:val="22"/>
              </w:rPr>
            </w:pPr>
            <w:r>
              <w:rPr>
                <w:sz w:val="22"/>
              </w:rPr>
              <w:t>Questar Gas City Gate</w:t>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Contract Price:</w:t>
            </w:r>
          </w:p>
        </w:tc>
        <w:tc>
          <w:tcPr>
            <w:tcW w:w="8190" w:type="dxa"/>
            <w:tcBorders/>
          </w:tcPr>
          <w:p>
            <w:pPr>
              <w:pStyle w:val="Normal"/>
              <w:rPr>
                <w:sz w:val="22"/>
              </w:rPr>
            </w:pPr>
            <w:r>
              <w:rPr>
                <w:sz w:val="22"/>
              </w:rPr>
              <w:t>Buyer and Seller shall agree on pricing structure(s) to be used in determining the price DQ Power will pay ENA for Natural Gas.  The pricing structure may depend on how electric energy is sold.  Proposed pricing structures are as follows:</w:t>
            </w:r>
          </w:p>
          <w:p>
            <w:pPr>
              <w:pStyle w:val="Normal"/>
              <w:rPr>
                <w:sz w:val="22"/>
              </w:rPr>
            </w:pPr>
            <w:r>
              <w:rPr>
                <w:sz w:val="22"/>
              </w:rPr>
            </w:r>
          </w:p>
          <w:p>
            <w:pPr>
              <w:pStyle w:val="Normal"/>
              <w:numPr>
                <w:ilvl w:val="0"/>
                <w:numId w:val="2"/>
              </w:numPr>
              <w:rPr/>
            </w:pPr>
            <w:r>
              <w:rPr>
                <w:sz w:val="22"/>
                <w:u w:val="single"/>
              </w:rPr>
              <w:t xml:space="preserve">Fixed Price </w:t>
            </w:r>
            <w:r>
              <w:rPr>
                <w:sz w:val="22"/>
              </w:rPr>
              <w:t xml:space="preserve"> - It is expected that a fixed price for electric energy from the facility shall be established for certain periods of time such as a week or month, but it is likely at the initial stages of plant start up, that the price will be set on a daily basis.  Should DQ Power make an election to sell electric energy on fixed-price basis, they can also elect to purchase gas at a fixed price for a like period. DQ Power can obtain by telephone a Fixed Price transaction from ENA for the period of interest.  </w:t>
            </w:r>
          </w:p>
          <w:p>
            <w:pPr>
              <w:pStyle w:val="Normal"/>
              <w:ind w:start="360" w:end="0"/>
              <w:rPr/>
            </w:pPr>
            <w:r>
              <w:rPr/>
            </w:r>
          </w:p>
          <w:p>
            <w:pPr>
              <w:pStyle w:val="Normal"/>
              <w:numPr>
                <w:ilvl w:val="0"/>
                <w:numId w:val="2"/>
              </w:numPr>
              <w:rPr/>
            </w:pPr>
            <w:r>
              <w:rPr>
                <w:sz w:val="22"/>
                <w:u w:val="single"/>
              </w:rPr>
              <w:t xml:space="preserve">Daily Index Price </w:t>
            </w:r>
            <w:r>
              <w:rPr>
                <w:sz w:val="22"/>
              </w:rPr>
              <w:t>– It is expected that the electric energy price will be sold on a daily basis during the initial stages of plant start up.  When power is being sold at dail</w:t>
            </w:r>
            <w:r>
              <w:rPr>
                <w:color w:val="000000"/>
                <w:sz w:val="22"/>
              </w:rPr>
              <w:t xml:space="preserve">y index, gas will be purchased on a like basis.  Each day gas will be sold to DQ Power at </w:t>
            </w:r>
            <w:r>
              <w:rPr>
                <w:u w:val="single"/>
              </w:rPr>
              <w:t>Gas Daily</w:t>
            </w:r>
            <w:r>
              <w:rPr/>
              <w:t xml:space="preserve"> Questar Index, Mid-Point of the Range as shown in the table entitled Daily Price Survey plus $0._____ per MMBtu.</w:t>
            </w:r>
          </w:p>
          <w:p>
            <w:pPr>
              <w:pStyle w:val="Normal"/>
              <w:ind w:start="360" w:end="0"/>
              <w:rPr>
                <w:sz w:val="22"/>
              </w:rPr>
            </w:pPr>
            <w:r>
              <w:rPr>
                <w:sz w:val="22"/>
              </w:rPr>
            </w:r>
          </w:p>
          <w:p>
            <w:pPr>
              <w:pStyle w:val="Normal"/>
              <w:ind w:start="360" w:end="0"/>
              <w:rPr>
                <w:sz w:val="22"/>
              </w:rPr>
            </w:pPr>
            <w:r>
              <w:rPr>
                <w:sz w:val="22"/>
              </w:rPr>
            </w:r>
          </w:p>
          <w:p>
            <w:pPr>
              <w:pStyle w:val="Normal"/>
              <w:tabs>
                <w:tab w:val="clear" w:pos="720"/>
                <w:tab w:val="left" w:pos="702" w:leader="none"/>
              </w:tabs>
              <w:ind w:start="702" w:end="0"/>
              <w:rPr>
                <w:sz w:val="22"/>
              </w:rPr>
            </w:pPr>
            <w:r>
              <w:rPr>
                <w:sz w:val="22"/>
              </w:rPr>
            </w:r>
          </w:p>
        </w:tc>
      </w:tr>
      <w:tr>
        <w:trPr/>
        <w:tc>
          <w:tcPr>
            <w:tcW w:w="1638" w:type="dxa"/>
            <w:tcBorders/>
          </w:tcPr>
          <w:p>
            <w:pPr>
              <w:pStyle w:val="Normal"/>
              <w:snapToGrid w:val="false"/>
              <w:rPr>
                <w:sz w:val="22"/>
              </w:rPr>
            </w:pPr>
            <w:r>
              <w:rPr>
                <w:sz w:val="22"/>
              </w:rPr>
            </w:r>
          </w:p>
        </w:tc>
        <w:tc>
          <w:tcPr>
            <w:tcW w:w="8190" w:type="dxa"/>
            <w:tcBorders/>
          </w:tcPr>
          <w:p>
            <w:pPr>
              <w:pStyle w:val="Normal"/>
              <w:snapToGrid w:val="false"/>
              <w:rPr>
                <w:sz w:val="22"/>
              </w:rPr>
            </w:pPr>
            <w:r>
              <w:rPr>
                <w:sz w:val="22"/>
              </w:rPr>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 xml:space="preserve">Unit </w:t>
            </w:r>
          </w:p>
          <w:p>
            <w:pPr>
              <w:pStyle w:val="Normal"/>
              <w:rPr>
                <w:sz w:val="22"/>
              </w:rPr>
            </w:pPr>
            <w:r>
              <w:rPr>
                <w:sz w:val="22"/>
              </w:rPr>
              <w:t>Outages:</w:t>
            </w:r>
          </w:p>
        </w:tc>
        <w:tc>
          <w:tcPr>
            <w:tcW w:w="8190" w:type="dxa"/>
            <w:tcBorders/>
          </w:tcPr>
          <w:p>
            <w:pPr>
              <w:pStyle w:val="Normal"/>
              <w:snapToGrid w:val="false"/>
              <w:rPr>
                <w:sz w:val="22"/>
              </w:rPr>
            </w:pPr>
            <w:r>
              <w:rPr>
                <w:sz w:val="22"/>
              </w:rPr>
            </w:r>
          </w:p>
          <w:p>
            <w:pPr>
              <w:pStyle w:val="Normal"/>
              <w:rPr>
                <w:sz w:val="22"/>
              </w:rPr>
            </w:pPr>
            <w:r>
              <w:rPr>
                <w:sz w:val="22"/>
              </w:rPr>
              <w:t xml:space="preserve">In the event of a unit outage during a fixed-price gas sale, ENA will sell gas back to the market on a daily basis.  ENA will coordinate with and work on behalf of DQ Power, to sell daily gas at the highest obtainable price in the event of a unit outage. </w:t>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638"/>
        <w:gridCol w:w="8280"/>
      </w:tblGrid>
      <w:tr>
        <w:trPr/>
        <w:tc>
          <w:tcPr>
            <w:tcW w:w="1638" w:type="dxa"/>
            <w:tcBorders/>
          </w:tcPr>
          <w:p>
            <w:pPr>
              <w:pStyle w:val="Normal"/>
              <w:rPr>
                <w:sz w:val="22"/>
              </w:rPr>
            </w:pPr>
            <w:r>
              <w:rPr>
                <w:sz w:val="22"/>
              </w:rPr>
              <w:t>Term:</w:t>
            </w:r>
          </w:p>
        </w:tc>
        <w:tc>
          <w:tcPr>
            <w:tcW w:w="8280" w:type="dxa"/>
            <w:tcBorders/>
          </w:tcPr>
          <w:p>
            <w:pPr>
              <w:pStyle w:val="Normal"/>
              <w:rPr>
                <w:sz w:val="22"/>
              </w:rPr>
            </w:pPr>
            <w:r>
              <w:rPr>
                <w:sz w:val="22"/>
              </w:rPr>
              <w:t>July 01, 2001 thru December 31, 2001 and month to month thereafter.</w:t>
            </w:r>
          </w:p>
        </w:tc>
      </w:tr>
    </w:tbl>
    <w:p>
      <w:pPr>
        <w:pStyle w:val="Normal"/>
        <w:rPr>
          <w:sz w:val="22"/>
        </w:rPr>
      </w:pPr>
      <w:r>
        <w:rPr>
          <w:sz w:val="22"/>
        </w:rPr>
      </w:r>
    </w:p>
    <w:tbl>
      <w:tblPr>
        <w:tblW w:w="9810" w:type="dxa"/>
        <w:jc w:val="start"/>
        <w:tblInd w:w="18" w:type="dxa"/>
        <w:tblLayout w:type="fixed"/>
        <w:tblCellMar>
          <w:top w:w="0" w:type="dxa"/>
          <w:start w:w="108" w:type="dxa"/>
          <w:bottom w:w="0" w:type="dxa"/>
          <w:end w:w="108" w:type="dxa"/>
        </w:tblCellMar>
      </w:tblPr>
      <w:tblGrid>
        <w:gridCol w:w="1620"/>
        <w:gridCol w:w="8190"/>
      </w:tblGrid>
      <w:tr>
        <w:trPr/>
        <w:tc>
          <w:tcPr>
            <w:tcW w:w="1620" w:type="dxa"/>
            <w:tcBorders/>
          </w:tcPr>
          <w:p>
            <w:pPr>
              <w:pStyle w:val="Normal"/>
              <w:rPr>
                <w:sz w:val="22"/>
              </w:rPr>
            </w:pPr>
            <w:r>
              <w:rPr>
                <w:sz w:val="22"/>
              </w:rPr>
              <w:t>Scheduling:</w:t>
            </w:r>
          </w:p>
        </w:tc>
        <w:tc>
          <w:tcPr>
            <w:tcW w:w="8190" w:type="dxa"/>
            <w:tcBorders/>
          </w:tcPr>
          <w:p>
            <w:pPr>
              <w:pStyle w:val="Normal"/>
              <w:jc w:val="both"/>
              <w:rPr>
                <w:sz w:val="22"/>
              </w:rPr>
            </w:pPr>
            <w:r>
              <w:rPr>
                <w:sz w:val="22"/>
              </w:rPr>
              <w:t xml:space="preserve">By 6:00 AM of the Scheduling Day, defined as the day when scheduling needs to occur so that energy is scheduled on the Energy Delivery Day(s), DQ Energy shall communicate to ENA, via fax and/or e-mail, a schedule specifying the Unit’s anticipated gas needs for each hour of the Energy Delivery Day(s).   </w:t>
            </w:r>
          </w:p>
          <w:p>
            <w:pPr>
              <w:pStyle w:val="Normal"/>
              <w:jc w:val="both"/>
              <w:rPr>
                <w:sz w:val="22"/>
              </w:rPr>
            </w:pPr>
            <w:r>
              <w:rPr>
                <w:sz w:val="22"/>
              </w:rPr>
            </w:r>
          </w:p>
          <w:p>
            <w:pPr>
              <w:pStyle w:val="Normal"/>
              <w:jc w:val="both"/>
              <w:rPr>
                <w:sz w:val="22"/>
              </w:rPr>
            </w:pPr>
            <w:r>
              <w:rPr>
                <w:sz w:val="22"/>
              </w:rPr>
              <w:t>Both parties may also agree to a standard formula for determining the hourly dispatch of the unit.  This formula may incorporate such operating parameters as the Unit’s heat rate, cost of fuel supply, operating constraints, etc.</w:t>
            </w:r>
          </w:p>
          <w:p>
            <w:pPr>
              <w:pStyle w:val="Normal"/>
              <w:jc w:val="both"/>
              <w:rPr>
                <w:sz w:val="22"/>
              </w:rPr>
            </w:pPr>
            <w:r>
              <w:rPr>
                <w:sz w:val="22"/>
              </w:rPr>
            </w:r>
          </w:p>
          <w:p>
            <w:pPr>
              <w:pStyle w:val="Normal"/>
              <w:jc w:val="both"/>
              <w:rPr>
                <w:sz w:val="22"/>
              </w:rPr>
            </w:pPr>
            <w:r>
              <w:rPr>
                <w:sz w:val="22"/>
              </w:rPr>
            </w:r>
          </w:p>
        </w:tc>
      </w:tr>
    </w:tbl>
    <w:p>
      <w:pPr>
        <w:pStyle w:val="Normal"/>
        <w:rPr>
          <w:b/>
          <w:bCs/>
        </w:rPr>
      </w:pPr>
      <w:r>
        <w:rPr>
          <w:b/>
          <w:bCs/>
        </w:rPr>
      </w:r>
    </w:p>
    <w:p>
      <w:pPr>
        <w:pStyle w:val="Normal"/>
        <w:rPr>
          <w:b/>
          <w:bCs/>
        </w:rPr>
      </w:pPr>
      <w:r>
        <w:rPr>
          <w:b/>
          <w:bCs/>
        </w:rPr>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2001-04-29T15:43:00Z</dcterms:created>
  <dc:creator>metring</dc:creator>
  <dc:description/>
  <dc:language>en-CA</dc:language>
  <cp:lastModifiedBy>dfuller</cp:lastModifiedBy>
  <cp:lastPrinted>2001-04-27T15:24:00Z</cp:lastPrinted>
  <dcterms:modified xsi:type="dcterms:W3CDTF">2001-04-29T15:43:00Z</dcterms:modified>
  <cp:revision>2</cp:revision>
  <dc:subject/>
  <dc:title>TERM SHEET OUTLINE</dc:title>
</cp:coreProperties>
</file>