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PROPOSAL TO SUPPLY NATURAL GAS</w:t>
      </w:r>
    </w:p>
    <w:p>
      <w:pPr>
        <w:pStyle w:val="Heading"/>
        <w:rPr>
          <w:sz w:val="32"/>
        </w:rPr>
      </w:pPr>
      <w:r>
        <w:rPr>
          <w:sz w:val="32"/>
        </w:rPr>
      </w:r>
    </w:p>
    <w:p>
      <w:pPr>
        <w:pStyle w:val="Normal"/>
        <w:jc w:val="center"/>
        <w:rPr>
          <w:b/>
          <w:bCs/>
        </w:rPr>
      </w:pPr>
      <w:r>
        <w:rPr>
          <w:b/>
          <w:bCs/>
        </w:rPr>
        <w:t>for</w:t>
      </w:r>
    </w:p>
    <w:p>
      <w:pPr>
        <w:pStyle w:val="Normal"/>
        <w:jc w:val="center"/>
        <w:rPr>
          <w:b/>
          <w:bCs/>
        </w:rPr>
      </w:pPr>
      <w:r>
        <w:rPr>
          <w:b/>
          <w:bCs/>
        </w:rPr>
        <w:t>DAI, Oildale, Inc</w:t>
      </w:r>
    </w:p>
    <w:p>
      <w:pPr>
        <w:pStyle w:val="Normal"/>
        <w:jc w:val="center"/>
        <w:rPr>
          <w:b/>
          <w:bCs/>
        </w:rPr>
      </w:pPr>
      <w:r>
        <w:rPr>
          <w:b/>
          <w:bCs/>
        </w:rPr>
        <w:t xml:space="preserve">by </w:t>
      </w:r>
    </w:p>
    <w:p>
      <w:pPr>
        <w:pStyle w:val="Normal"/>
        <w:jc w:val="center"/>
        <w:rPr>
          <w:b/>
          <w:bCs/>
        </w:rPr>
      </w:pPr>
      <w:r>
        <w:rPr>
          <w:b/>
          <w:bCs/>
        </w:rPr>
        <w:t xml:space="preserve">Enron North America </w:t>
      </w:r>
    </w:p>
    <w:p>
      <w:pPr>
        <w:pStyle w:val="Normal"/>
        <w:jc w:val="center"/>
        <w:rPr>
          <w:b/>
          <w:bCs/>
        </w:rPr>
      </w:pPr>
      <w:r>
        <w:rPr>
          <w:b/>
          <w:bCs/>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 xml:space="preserve">Scope of the Agreement:  </w:t>
            </w:r>
          </w:p>
        </w:tc>
        <w:tc>
          <w:tcPr>
            <w:tcW w:w="8190" w:type="dxa"/>
            <w:tcBorders/>
          </w:tcPr>
          <w:p>
            <w:pPr>
              <w:pStyle w:val="Normal"/>
              <w:rPr>
                <w:sz w:val="22"/>
              </w:rPr>
            </w:pPr>
            <w:r>
              <w:rPr>
                <w:sz w:val="22"/>
              </w:rPr>
              <w:t>Enron North America (ENA) will provide DAI Oildale, Inc. (DAI) with natural gas service for its LM 2500 combined cycle cogeneration facility Northeast of Bakersfield, California.  It is assumed this is a baseload facility that runs around the clock.</w:t>
            </w:r>
          </w:p>
          <w:p>
            <w:pPr>
              <w:pStyle w:val="Normal"/>
              <w:rPr>
                <w:sz w:val="22"/>
              </w:rPr>
            </w:pPr>
            <w:r>
              <w:rPr>
                <w:sz w:val="22"/>
              </w:rPr>
              <w:t xml:space="preserve"> </w:t>
            </w:r>
            <w:r>
              <w:rPr>
                <w:sz w:val="22"/>
              </w:rPr>
              <w:fldChar w:fldCharType="begin"/>
            </w:r>
            <w:r>
              <w:rPr>
                <w:sz w:val="22"/>
              </w:rPr>
              <w:instrText xml:space="preserve"> MERGEFIELD SellerName </w:instrText>
            </w:r>
            <w:r>
              <w:rPr>
                <w:sz w:val="22"/>
              </w:rPr>
              <w:fldChar w:fldCharType="separate"/>
            </w:r>
            <w:r>
              <w:rPr>
                <w:sz w:val="22"/>
              </w:rPr>
            </w:r>
            <w:r>
              <w:rPr>
                <w:sz w:val="22"/>
              </w:rPr>
              <w:fldChar w:fldCharType="end"/>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Seller:</w:t>
            </w:r>
          </w:p>
        </w:tc>
        <w:tc>
          <w:tcPr>
            <w:tcW w:w="8190" w:type="dxa"/>
            <w:tcBorders/>
          </w:tcPr>
          <w:p>
            <w:pPr>
              <w:pStyle w:val="Normal"/>
              <w:rPr>
                <w:sz w:val="22"/>
              </w:rPr>
            </w:pPr>
            <w:r>
              <w:rPr>
                <w:sz w:val="22"/>
              </w:rPr>
              <w:t xml:space="preserve">ENA </w:t>
            </w:r>
            <w:r>
              <w:rPr>
                <w:sz w:val="22"/>
              </w:rPr>
              <w:fldChar w:fldCharType="begin"/>
            </w:r>
            <w:r>
              <w:rPr>
                <w:sz w:val="22"/>
              </w:rPr>
              <w:instrText xml:space="preserve"> MERGEFIELD SellerName </w:instrText>
            </w:r>
            <w:r>
              <w:rPr>
                <w:sz w:val="22"/>
              </w:rPr>
              <w:fldChar w:fldCharType="separate"/>
            </w:r>
            <w:r>
              <w:rPr>
                <w:sz w:val="22"/>
              </w:rPr>
            </w:r>
            <w:r>
              <w:rPr>
                <w:sz w:val="22"/>
              </w:rPr>
              <w:fldChar w:fldCharType="end"/>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Buyer:</w:t>
            </w:r>
          </w:p>
        </w:tc>
        <w:tc>
          <w:tcPr>
            <w:tcW w:w="8190" w:type="dxa"/>
            <w:tcBorders/>
          </w:tcPr>
          <w:p>
            <w:pPr>
              <w:pStyle w:val="Normal"/>
              <w:rPr>
                <w:sz w:val="22"/>
              </w:rPr>
            </w:pPr>
            <w:r>
              <w:rPr>
                <w:sz w:val="22"/>
              </w:rPr>
              <w:t>DAI</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Product:</w:t>
            </w:r>
          </w:p>
        </w:tc>
        <w:tc>
          <w:tcPr>
            <w:tcW w:w="8190" w:type="dxa"/>
            <w:tcBorders/>
          </w:tcPr>
          <w:p>
            <w:pPr>
              <w:pStyle w:val="Normal"/>
              <w:rPr>
                <w:sz w:val="22"/>
              </w:rPr>
            </w:pPr>
            <w:r>
              <w:rPr>
                <w:sz w:val="22"/>
              </w:rPr>
              <w:t>Natural Gas</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Contract Quantity:</w:t>
            </w:r>
          </w:p>
        </w:tc>
        <w:tc>
          <w:tcPr>
            <w:tcW w:w="8190" w:type="dxa"/>
            <w:tcBorders/>
          </w:tcPr>
          <w:p>
            <w:pPr>
              <w:pStyle w:val="Normal"/>
              <w:rPr>
                <w:sz w:val="22"/>
              </w:rPr>
            </w:pPr>
            <w:r>
              <w:rPr>
                <w:sz w:val="22"/>
              </w:rPr>
              <w:t>The Contract Quantity will be either 5000 MMBtu per day or 6000 MMBtu, per day to be negotiated.</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Delivery Point:</w:t>
            </w:r>
          </w:p>
        </w:tc>
        <w:tc>
          <w:tcPr>
            <w:tcW w:w="8190" w:type="dxa"/>
            <w:tcBorders/>
          </w:tcPr>
          <w:p>
            <w:pPr>
              <w:pStyle w:val="Normal"/>
              <w:rPr>
                <w:sz w:val="22"/>
              </w:rPr>
            </w:pPr>
            <w:r>
              <w:rPr>
                <w:sz w:val="22"/>
              </w:rPr>
              <w:t xml:space="preserve">Kern River Transmission pipeline, Sycamore Station (Meter# 2-5007) </w:t>
            </w:r>
          </w:p>
        </w:tc>
      </w:tr>
    </w:tbl>
    <w:p>
      <w:pPr>
        <w:pStyle w:val="Normal"/>
        <w:rPr>
          <w:sz w:val="22"/>
        </w:rPr>
      </w:pPr>
      <w:r>
        <w:rPr>
          <w:sz w:val="22"/>
        </w:rPr>
      </w:r>
    </w:p>
    <w:tbl>
      <w:tblPr>
        <w:tblW w:w="9828" w:type="dxa"/>
        <w:jc w:val="start"/>
        <w:tblInd w:w="0" w:type="dxa"/>
        <w:tblLayout w:type="fixed"/>
        <w:tblCellMar>
          <w:top w:w="0" w:type="dxa"/>
          <w:start w:w="108" w:type="dxa"/>
          <w:bottom w:w="0" w:type="dxa"/>
          <w:end w:w="108" w:type="dxa"/>
        </w:tblCellMar>
      </w:tblPr>
      <w:tblGrid>
        <w:gridCol w:w="1638"/>
        <w:gridCol w:w="8190"/>
      </w:tblGrid>
      <w:tr>
        <w:trPr/>
        <w:tc>
          <w:tcPr>
            <w:tcW w:w="1638" w:type="dxa"/>
            <w:tcBorders/>
          </w:tcPr>
          <w:p>
            <w:pPr>
              <w:pStyle w:val="Normal"/>
              <w:rPr>
                <w:sz w:val="22"/>
              </w:rPr>
            </w:pPr>
            <w:r>
              <w:rPr>
                <w:sz w:val="22"/>
              </w:rPr>
              <w:t>Contract Price:</w:t>
            </w:r>
          </w:p>
        </w:tc>
        <w:tc>
          <w:tcPr>
            <w:tcW w:w="8190" w:type="dxa"/>
            <w:tcBorders/>
          </w:tcPr>
          <w:p>
            <w:pPr>
              <w:pStyle w:val="Normal"/>
              <w:numPr>
                <w:ilvl w:val="0"/>
                <w:numId w:val="2"/>
              </w:numPr>
              <w:rPr>
                <w:sz w:val="22"/>
              </w:rPr>
            </w:pPr>
            <w:r>
              <w:rPr>
                <w:sz w:val="22"/>
              </w:rPr>
              <w:t xml:space="preserve">Fixed Price -  $4.49 per MMBtu.  </w:t>
            </w:r>
          </w:p>
          <w:p>
            <w:pPr>
              <w:pStyle w:val="Normal"/>
              <w:numPr>
                <w:ilvl w:val="0"/>
                <w:numId w:val="2"/>
              </w:numPr>
              <w:rPr>
                <w:sz w:val="22"/>
              </w:rPr>
            </w:pPr>
            <w:r>
              <w:rPr>
                <w:sz w:val="22"/>
              </w:rPr>
              <w:t>Index Price - NGI SoCal Topock, Monthly Index plus $0.22 per MMBtu</w:t>
            </w:r>
          </w:p>
        </w:tc>
      </w:tr>
    </w:tbl>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1638"/>
        <w:gridCol w:w="8280"/>
      </w:tblGrid>
      <w:tr>
        <w:trPr/>
        <w:tc>
          <w:tcPr>
            <w:tcW w:w="1638" w:type="dxa"/>
            <w:tcBorders/>
          </w:tcPr>
          <w:p>
            <w:pPr>
              <w:pStyle w:val="Normal"/>
              <w:rPr>
                <w:sz w:val="22"/>
              </w:rPr>
            </w:pPr>
            <w:r>
              <w:rPr>
                <w:sz w:val="22"/>
              </w:rPr>
              <w:t>Term:</w:t>
            </w:r>
          </w:p>
        </w:tc>
        <w:tc>
          <w:tcPr>
            <w:tcW w:w="8280" w:type="dxa"/>
            <w:tcBorders/>
          </w:tcPr>
          <w:p>
            <w:pPr>
              <w:pStyle w:val="Normal"/>
              <w:rPr>
                <w:sz w:val="22"/>
              </w:rPr>
            </w:pPr>
            <w:r>
              <w:rPr>
                <w:sz w:val="22"/>
              </w:rPr>
              <w:t>September 01, 2001 through August 31, 2006.</w:t>
            </w:r>
          </w:p>
        </w:tc>
      </w:tr>
    </w:tbl>
    <w:p>
      <w:pPr>
        <w:pStyle w:val="Normal"/>
        <w:rPr>
          <w:sz w:val="22"/>
        </w:rPr>
      </w:pPr>
      <w:r>
        <w:rPr>
          <w:sz w:val="22"/>
        </w:rPr>
      </w:r>
    </w:p>
    <w:tbl>
      <w:tblPr>
        <w:tblW w:w="9810" w:type="dxa"/>
        <w:jc w:val="start"/>
        <w:tblInd w:w="18" w:type="dxa"/>
        <w:tblLayout w:type="fixed"/>
        <w:tblCellMar>
          <w:top w:w="0" w:type="dxa"/>
          <w:start w:w="108" w:type="dxa"/>
          <w:bottom w:w="0" w:type="dxa"/>
          <w:end w:w="108" w:type="dxa"/>
        </w:tblCellMar>
      </w:tblPr>
      <w:tblGrid>
        <w:gridCol w:w="1620"/>
        <w:gridCol w:w="8190"/>
      </w:tblGrid>
      <w:tr>
        <w:trPr/>
        <w:tc>
          <w:tcPr>
            <w:tcW w:w="1620" w:type="dxa"/>
            <w:tcBorders/>
          </w:tcPr>
          <w:p>
            <w:pPr>
              <w:pStyle w:val="Normal"/>
              <w:rPr>
                <w:sz w:val="22"/>
              </w:rPr>
            </w:pPr>
            <w:r>
              <w:rPr>
                <w:sz w:val="22"/>
              </w:rPr>
              <w:t>Swing Volumes:</w:t>
            </w:r>
          </w:p>
        </w:tc>
        <w:tc>
          <w:tcPr>
            <w:tcW w:w="8190" w:type="dxa"/>
            <w:tcBorders/>
          </w:tcPr>
          <w:p>
            <w:pPr>
              <w:pStyle w:val="Normal"/>
              <w:jc w:val="both"/>
              <w:rPr>
                <w:sz w:val="22"/>
              </w:rPr>
            </w:pPr>
            <w:r>
              <w:rPr>
                <w:sz w:val="22"/>
              </w:rPr>
              <w:t>The load factor shall be 100%.  The Contract Quantity shall be delivered each day for the term of the transaction.  If additional volumes are required, ENA can provide them at a price to be negotiated.</w:t>
            </w:r>
          </w:p>
        </w:tc>
      </w:tr>
    </w:tbl>
    <w:p>
      <w:pPr>
        <w:pStyle w:val="Normal"/>
        <w:rPr>
          <w:b/>
          <w:bCs/>
          <w:sz w:val="22"/>
        </w:rPr>
      </w:pPr>
      <w:r>
        <w:rPr>
          <w:b/>
          <w:bCs/>
          <w:sz w:val="22"/>
        </w:rPr>
      </w:r>
    </w:p>
    <w:tbl>
      <w:tblPr>
        <w:tblW w:w="9810" w:type="dxa"/>
        <w:jc w:val="start"/>
        <w:tblInd w:w="18" w:type="dxa"/>
        <w:tblLayout w:type="fixed"/>
        <w:tblCellMar>
          <w:top w:w="0" w:type="dxa"/>
          <w:start w:w="108" w:type="dxa"/>
          <w:bottom w:w="0" w:type="dxa"/>
          <w:end w:w="108" w:type="dxa"/>
        </w:tblCellMar>
      </w:tblPr>
      <w:tblGrid>
        <w:gridCol w:w="1620"/>
        <w:gridCol w:w="8190"/>
      </w:tblGrid>
      <w:tr>
        <w:trPr/>
        <w:tc>
          <w:tcPr>
            <w:tcW w:w="1620" w:type="dxa"/>
            <w:tcBorders/>
          </w:tcPr>
          <w:p>
            <w:pPr>
              <w:pStyle w:val="Normal"/>
              <w:rPr>
                <w:sz w:val="22"/>
              </w:rPr>
            </w:pPr>
            <w:r>
              <w:rPr>
                <w:sz w:val="22"/>
              </w:rPr>
              <w:t>Other:</w:t>
            </w:r>
          </w:p>
        </w:tc>
        <w:tc>
          <w:tcPr>
            <w:tcW w:w="8190" w:type="dxa"/>
            <w:tcBorders/>
          </w:tcPr>
          <w:p>
            <w:pPr>
              <w:pStyle w:val="Normal"/>
              <w:numPr>
                <w:ilvl w:val="0"/>
                <w:numId w:val="3"/>
              </w:numPr>
              <w:jc w:val="both"/>
              <w:rPr>
                <w:sz w:val="22"/>
              </w:rPr>
            </w:pPr>
            <w:r>
              <w:rPr>
                <w:sz w:val="22"/>
              </w:rPr>
              <w:t xml:space="preserve">A new Master Agreement between DAI and ENA will be executed.  This Master shall be in the form of the Enfolio Master Firm Agreement (Sample copy attached).  A single Confirmation Letter pursuant to this Master Agreement shall be executed to document this and subsequent transactions.   </w:t>
            </w:r>
          </w:p>
          <w:p>
            <w:pPr>
              <w:pStyle w:val="Normal"/>
              <w:numPr>
                <w:ilvl w:val="0"/>
                <w:numId w:val="3"/>
              </w:numPr>
              <w:jc w:val="both"/>
              <w:rPr>
                <w:sz w:val="22"/>
              </w:rPr>
            </w:pPr>
            <w:r>
              <w:rPr>
                <w:sz w:val="22"/>
              </w:rPr>
              <w:t xml:space="preserve">Differences between Scheduled quantities and actual quantities delivered ("Imbalances") will be corrected or settled in cash or Gas or by offset as the parties agree.  </w:t>
            </w:r>
          </w:p>
          <w:p>
            <w:pPr>
              <w:pStyle w:val="Normal"/>
              <w:numPr>
                <w:ilvl w:val="0"/>
                <w:numId w:val="3"/>
              </w:numPr>
              <w:jc w:val="both"/>
              <w:rPr>
                <w:sz w:val="22"/>
              </w:rPr>
            </w:pPr>
            <w:r>
              <w:rPr>
                <w:sz w:val="22"/>
              </w:rPr>
              <w:t>In the event of plant outages, ENA can provide a remarketing service for unwanted quantities on a daily, weekly or monthly basis.</w:t>
            </w:r>
          </w:p>
          <w:p>
            <w:pPr>
              <w:pStyle w:val="Normal"/>
              <w:jc w:val="both"/>
              <w:rPr>
                <w:sz w:val="22"/>
              </w:rPr>
            </w:pPr>
            <w:r>
              <w:rPr>
                <w:sz w:val="22"/>
              </w:rPr>
            </w:r>
          </w:p>
        </w:tc>
      </w:tr>
    </w:tbl>
    <w:p>
      <w:pPr>
        <w:pStyle w:val="Normal"/>
        <w:jc w:val="both"/>
        <w:rPr>
          <w:b/>
          <w:i/>
          <w:i/>
        </w:rPr>
      </w:pPr>
      <w:r>
        <w:rPr>
          <w:b/>
          <w:i/>
        </w:rPr>
      </w:r>
    </w:p>
    <w:p>
      <w:pPr>
        <w:pStyle w:val="BodyText"/>
        <w:rPr/>
      </w:pPr>
      <w:r>
        <w:rPr/>
        <w:t>This Proposal is for discussion purposes only to facilitate the negotiation, preparation, and execution of a definitive agreement.  It is not intended to create a binding or enforceable contract or to be complete and all-inclusive of the terms of the related transaction.  This is not an offer or a commitment of Enron or DAI or any parent or affiliate of either.  The transaction described above is subject to further review and approval of upper management of Enron and the execution of the definitive agreement containing all appropriate provisions, including, but not limited to, those relating to credit and limitation of damages and remedies and force majeure.</w:t>
      </w:r>
    </w:p>
    <w:p>
      <w:pPr>
        <w:pStyle w:val="Normal"/>
        <w:rPr>
          <w:b/>
          <w:bCs/>
          <w:sz w:val="22"/>
        </w:rPr>
      </w:pPr>
      <w:r>
        <w:rPr>
          <w:b/>
          <w:bCs/>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jc w:val="both"/>
    </w:pPr>
    <w:rPr>
      <w:b/>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2001-08-16T13:44:00Z</dcterms:created>
  <dc:creator>metring</dc:creator>
  <dc:description/>
  <dc:language>en-CA</dc:language>
  <cp:lastModifiedBy>dfuller</cp:lastModifiedBy>
  <cp:lastPrinted>2001-04-27T15:24:00Z</cp:lastPrinted>
  <dcterms:modified xsi:type="dcterms:W3CDTF">2001-08-16T13:44:00Z</dcterms:modified>
  <cp:revision>2</cp:revision>
  <dc:subject/>
  <dc:title>TERM SHEET OUTLINE</dc:title>
</cp:coreProperties>
</file>