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Key Terms of Letter of Intent Relating toTurbine Acquisition</w:t>
      </w:r>
    </w:p>
    <w:p>
      <w:pPr>
        <w:pStyle w:val="Heading"/>
        <w:rPr>
          <w:sz w:val="22"/>
        </w:rPr>
      </w:pPr>
      <w:r>
        <w:rPr>
          <w:sz w:val="22"/>
        </w:rPr>
        <w:t>December 3, 2000</w:t>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88"/>
        <w:gridCol w:w="586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Parties</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[GenPower] (“Seller”) and an Enron affiliate and/or its designee (“Purchaser”).</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Transaction</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GenPower will convey all rights, title and interest in four (4) GE 7 FA turbine generator sets (each a “Unit”) and two (2) GE steam turbine generator sets [collectively all are referred to as “the Equipment”] to Purchaser by assigning the Agreement (see below) to Purchaser.  Upon assignment, Seller shall have no further interest in the Equipment, and no further obligation to GE for the Equipment.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Representations of Seller</w:t>
            </w:r>
          </w:p>
          <w:p>
            <w:pPr>
              <w:pStyle w:val="Normal"/>
              <w:rPr>
                <w:sz w:val="22"/>
              </w:rPr>
            </w:pPr>
            <w:r>
              <w:rPr>
                <w:sz w:val="22"/>
              </w:rPr>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Seller warrants that it has provided Purchaser with the current, effective version of the contract between Seller and GE relating to the Equipment (“the Agreement”), and that there are no change orders, amendments or waivers relating to the Agreement. Seller represents that it has not encumbered or pledged its rights under the [GE contract], and to the best of its knowledge, neither Seller nor GE are in default under the </w:t>
            </w:r>
          </w:p>
          <w:p>
            <w:pPr>
              <w:pStyle w:val="Normal"/>
              <w:rPr>
                <w:sz w:val="22"/>
              </w:rPr>
            </w:pPr>
            <w:r>
              <w:rPr>
                <w:sz w:val="22"/>
              </w:rPr>
              <w:t>Agreement.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Consideration and Payment</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Seller shall receive the following payments:</w:t>
            </w:r>
          </w:p>
          <w:p>
            <w:pPr>
              <w:pStyle w:val="Normal"/>
              <w:numPr>
                <w:ilvl w:val="0"/>
                <w:numId w:val="1"/>
              </w:numPr>
              <w:rPr>
                <w:sz w:val="22"/>
              </w:rPr>
            </w:pPr>
            <w:r>
              <w:rPr>
                <w:sz w:val="22"/>
              </w:rPr>
              <w:t>$3,000,000 upon assignment of the Agreement for the Equipment; and</w:t>
            </w:r>
          </w:p>
          <w:p>
            <w:pPr>
              <w:pStyle w:val="Normal"/>
              <w:numPr>
                <w:ilvl w:val="0"/>
                <w:numId w:val="1"/>
              </w:numPr>
              <w:rPr>
                <w:sz w:val="22"/>
              </w:rPr>
            </w:pPr>
            <w:r>
              <w:rPr>
                <w:sz w:val="22"/>
              </w:rPr>
              <w:t>$750,000 per Unit at each of the Units’ estimated commercial operation dates (September 30, 2002 for the first and second Units, December 31, 2002, for the third Unit, and April 30, 2003 for the fourth Unit) or upon the assignment of the Unit to a third party. If a Unit is assigned to a third party prior to the estimated commercial operation date, Seller shall receive the final payment relating to the assigned Unit at that time.</w:t>
            </w:r>
          </w:p>
          <w:p>
            <w:pPr>
              <w:pStyle w:val="Normal"/>
              <w:rPr>
                <w:sz w:val="22"/>
              </w:rPr>
            </w:pPr>
            <w:r>
              <w:rPr>
                <w:sz w:val="22"/>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Due Diligence</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At Purchaser’s discretion, Purchaser shall review the Agreement, and shall conduct discussions with GE concerning the Agreement and the status of the Equipment, including the guaranteed delivery dates.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Conditions Precedent</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Conditions to Purchaser’s obligations are as follows: (i) GE must give its full and unqualified consent to the assignment of the Agreement to Purchaser (ii) Purchaser must be satisfied that the Agreement is commercially reasonable and can support Purchaser’s commercial objectives (iii) the transaction must be capable of being financed to Purchaser’s satisfaction (iv) Purchaser must obtain internal approvals (v) Purchaser must be satisfied that there are no regulatory or other legal impediments which will delay or otherwise frustrate the purpose of the transaction (vi) Purchaser and GE must agree to the cancellation of one of the steam turbines on acceptable terms, and (vii) Purchaser and GE must agree to reconfigure the second steam turbine for Purchaser’s projects.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Contracting Structure</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The transaction shall be structured in order to achieve Purchaser’s commercial (including financing) objectives.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Term</w:t>
            </w:r>
          </w:p>
        </w:tc>
        <w:tc>
          <w:tcPr>
            <w:tcW w:w="586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The letter of intent will expire on December 18, 2000 if the parties have not entered into definitive agreements on or before that date. </w:t>
            </w:r>
          </w:p>
        </w:tc>
      </w:tr>
    </w:tbl>
    <w:p>
      <w:pPr>
        <w:pStyle w:val="Normal"/>
        <w:rPr>
          <w:sz w:val="22"/>
        </w:rPr>
      </w:pPr>
      <w:r>
        <w:rPr>
          <w:sz w:val="22"/>
        </w:rPr>
      </w:r>
    </w:p>
    <w:p>
      <w:pPr>
        <w:pStyle w:val="Normal"/>
        <w:rPr>
          <w:sz w:val="22"/>
        </w:rPr>
      </w:pPr>
      <w:r>
        <w:rPr>
          <w:sz w:val="22"/>
        </w:rPr>
      </w:r>
    </w:p>
    <w:p>
      <w:pPr>
        <w:pStyle w:val="BodyText"/>
        <w:rPr>
          <w:sz w:val="22"/>
        </w:rPr>
      </w:pPr>
      <w:r>
        <w:rPr>
          <w:sz w:val="22"/>
        </w:rPr>
        <w:t>The above items represent a non-binding expression of understanding, and shall be the basis of further discussions.  Neither party shall be obligated to the other until definitive agreements have been fully executed, and any conditions precedent expressed therein have been met.</w:t>
      </w:r>
    </w:p>
    <w:p>
      <w:pPr>
        <w:pStyle w:val="Normal"/>
        <w:jc w:val="both"/>
        <w:rPr>
          <w:sz w:val="22"/>
        </w:rPr>
      </w:pPr>
      <w:r>
        <w:rPr>
          <w:sz w:val="22"/>
        </w:rPr>
      </w:r>
    </w:p>
    <w:p>
      <w:pPr>
        <w:pStyle w:val="Normal"/>
        <w:rPr>
          <w:sz w:val="22"/>
        </w:rPr>
      </w:pPr>
      <w:r>
        <w:rPr>
          <w:sz w:val="22"/>
        </w:rPr>
      </w:r>
    </w:p>
    <w:p>
      <w:pPr>
        <w:pStyle w:val="Normal"/>
        <w:rPr>
          <w:sz w:val="22"/>
        </w:rPr>
      </w:pPr>
      <w:r>
        <w:rPr>
          <w:sz w:val="22"/>
        </w:rPr>
        <w:t>Accepted and Agreed on the 4th day of December, 2000:</w:t>
      </w:r>
    </w:p>
    <w:p>
      <w:pPr>
        <w:pStyle w:val="Normal"/>
        <w:rPr>
          <w:sz w:val="22"/>
        </w:rPr>
      </w:pPr>
      <w:r>
        <w:rPr>
          <w:sz w:val="22"/>
        </w:rPr>
      </w:r>
    </w:p>
    <w:p>
      <w:pPr>
        <w:pStyle w:val="Normal"/>
        <w:rPr>
          <w:sz w:val="22"/>
        </w:rPr>
      </w:pPr>
      <w:r>
        <w:rPr>
          <w:sz w:val="22"/>
        </w:rPr>
      </w:r>
    </w:p>
    <w:p>
      <w:pPr>
        <w:pStyle w:val="Normal"/>
        <w:rPr>
          <w:sz w:val="22"/>
        </w:rPr>
      </w:pPr>
      <w:r>
        <w:rPr>
          <w:sz w:val="22"/>
        </w:rPr>
        <w:t>[GenPower]</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w:t>
      </w:r>
    </w:p>
    <w:p>
      <w:pPr>
        <w:pStyle w:val="Normal"/>
        <w:rPr>
          <w:sz w:val="22"/>
        </w:rPr>
      </w:pPr>
      <w:r>
        <w:rPr>
          <w:sz w:val="22"/>
        </w:rPr>
        <w:t>By:</w:t>
      </w:r>
    </w:p>
    <w:p>
      <w:pPr>
        <w:pStyle w:val="Normal"/>
        <w:rPr>
          <w:sz w:val="22"/>
        </w:rPr>
      </w:pPr>
      <w:r>
        <w:rPr>
          <w:sz w:val="22"/>
        </w:rPr>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Enron North America</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w:t>
      </w:r>
    </w:p>
    <w:p>
      <w:pPr>
        <w:pStyle w:val="Normal"/>
        <w:rPr>
          <w:sz w:val="22"/>
        </w:rPr>
      </w:pPr>
      <w:r>
        <w:rPr>
          <w:sz w:val="22"/>
        </w:rPr>
        <w:t>By:</w:t>
      </w:r>
    </w:p>
    <w:p>
      <w:pPr>
        <w:pStyle w:val="Normal"/>
        <w:rPr>
          <w:sz w:val="22"/>
        </w:rPr>
      </w:pPr>
      <w:r>
        <w:rPr>
          <w:sz w:val="22"/>
        </w:rPr>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rPr>
    </w:pPr>
    <w:r>
      <w:rPr>
        <w:sz w:val="28"/>
      </w:rPr>
      <w:t>DRAFT 12/03/00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2000-12-03T19:46:00Z</dcterms:created>
  <dc:creator>yzhao</dc:creator>
  <dc:description/>
  <dc:language>en-CA</dc:language>
  <cp:lastModifiedBy>kmann</cp:lastModifiedBy>
  <cp:lastPrinted>2000-12-03T17:27:00Z</cp:lastPrinted>
  <dcterms:modified xsi:type="dcterms:W3CDTF">2000-12-03T20:59:00Z</dcterms:modified>
  <cp:revision>3</cp:revision>
  <dc:subject/>
  <dc:title>Delayed Coker Term Sheet</dc:title>
</cp:coreProperties>
</file>