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O:\EGFLEGAL\GBAHLMANN\NETWORKS\TERMSHEET9.DOC</w:t>
      </w:r>
    </w:p>
    <w:p>
      <w:pPr>
        <w:pStyle w:val="Normal"/>
        <w:bidi w:val="0"/>
        <w:jc w:val="start"/>
        <w:rPr/>
      </w:pPr>
      <w:r>
        <w:rPr/>
        <w:t>and revised document: O:\EGFLEGAL\GBAHLMANN\NETWORKS\TERMSHEET11.DOC</w:t>
      </w:r>
    </w:p>
    <w:p>
      <w:pPr>
        <w:pStyle w:val="Normal"/>
        <w:bidi w:val="0"/>
        <w:jc w:val="start"/>
        <w:rPr/>
      </w:pPr>
      <w:r>
        <w:rPr/>
      </w:r>
    </w:p>
    <w:p>
      <w:pPr>
        <w:pStyle w:val="Normal"/>
        <w:bidi w:val="0"/>
        <w:jc w:val="start"/>
        <w:rPr/>
      </w:pPr>
      <w:r>
        <w:rPr/>
        <w:t>CompareRite found      17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Underline text surrounded by []</w:t>
      </w:r>
      <w:r>
        <w:br w:type="page"/>
      </w:r>
    </w:p>
    <w:p>
      <w:pPr>
        <w:pStyle w:val="JustifiedBody"/>
        <w:bidi w:val="0"/>
        <w:spacing w:before="120" w:after="120"/>
        <w:rPr>
          <w:rFonts w:ascii="Times New Roman" w:hAnsi="Times New Roman"/>
        </w:rPr>
      </w:pPr>
      <w:r>
        <w:rPr>
          <w:rFonts w:ascii="Times New Roman" w:hAnsi="Times New Roman"/>
          <w:i/>
        </w:rPr>
        <w:t>The following is a summary of certain terms of the Agreement of Limited Partnership of Enron Net Works Partners, L.P., (the “Partnership Agreement”).    This summary is qualified in its entirety by reference to the Partnership Agreement, which will be furnished to qualified investors upon request and should be reviewed carefully.</w:t>
      </w:r>
      <w:r>
        <w:rPr>
          <w:rFonts w:ascii="Times New Roman" w:hAnsi="Times New Roman"/>
        </w:rPr>
        <w:t xml:space="preserve"> </w:t>
      </w:r>
    </w:p>
    <w:tbl>
      <w:tblPr>
        <w:tblW w:w="8639" w:type="dxa"/>
        <w:jc w:val="start"/>
        <w:tblInd w:w="1" w:type="dxa"/>
        <w:tblLayout w:type="fixed"/>
        <w:tblCellMar>
          <w:top w:w="0" w:type="dxa"/>
          <w:start w:w="98" w:type="dxa"/>
          <w:bottom w:w="0" w:type="dxa"/>
          <w:end w:w="98" w:type="dxa"/>
        </w:tblCellMar>
      </w:tblPr>
      <w:tblGrid>
        <w:gridCol w:w="3268"/>
        <w:gridCol w:w="5370"/>
      </w:tblGrid>
      <w:tr>
        <w:trPr/>
        <w:tc>
          <w:tcPr>
            <w:tcW w:w="3268" w:type="dxa"/>
            <w:tcBorders/>
          </w:tcPr>
          <w:p>
            <w:pPr>
              <w:pStyle w:val="Normal"/>
              <w:tabs>
                <w:tab w:val="clear" w:pos="720"/>
              </w:tabs>
              <w:bidi w:val="0"/>
              <w:spacing w:before="120" w:after="60"/>
              <w:jc w:val="start"/>
              <w:rPr/>
            </w:pPr>
            <w:bookmarkStart w:id="0" w:name="_Ref489097759"/>
            <w:r>
              <w:rPr>
                <w:rFonts w:ascii="Times New Roman" w:hAnsi="Times New Roman"/>
                <w:b/>
                <w:sz w:val="22"/>
              </w:rPr>
              <w:t>The Partnership:</w:t>
            </w:r>
            <w:bookmarkEnd w:id="0"/>
          </w:p>
        </w:tc>
        <w:tc>
          <w:tcPr>
            <w:tcW w:w="5370" w:type="dxa"/>
            <w:tcBorders/>
          </w:tcPr>
          <w:p>
            <w:pPr>
              <w:pStyle w:val="JustifiedBody"/>
              <w:tabs>
                <w:tab w:val="clear" w:pos="720"/>
              </w:tabs>
              <w:bidi w:val="0"/>
              <w:spacing w:before="120" w:after="60"/>
              <w:rPr/>
            </w:pPr>
            <w:r>
              <w:rPr>
                <w:rFonts w:ascii="Times New Roman" w:hAnsi="Times New Roman"/>
              </w:rPr>
              <w:t>Enron Corp. ("Enron") is establishing Enron Net Works Partners, LP, a Delaware limited partnership ("Net Works"), to pursue asset acquisitions in the pulp and paper, lumber and steel industries (the “Targeted Industries”) where, by utilizing Enron’s business model, there is an opportunity to become a leading principal-based market-maker.</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General Partner:</w:t>
            </w:r>
          </w:p>
        </w:tc>
        <w:tc>
          <w:tcPr>
            <w:tcW w:w="5370" w:type="dxa"/>
            <w:tcBorders/>
          </w:tcPr>
          <w:p>
            <w:pPr>
              <w:pStyle w:val="JustifiedBody"/>
              <w:tabs>
                <w:tab w:val="clear" w:pos="720"/>
              </w:tabs>
              <w:bidi w:val="0"/>
              <w:spacing w:before="120" w:after="60"/>
              <w:rPr/>
            </w:pPr>
            <w:r>
              <w:rPr>
                <w:rFonts w:ascii="Times New Roman" w:hAnsi="Times New Roman"/>
              </w:rPr>
              <w:t>Enron Net Works Management LLC, a Delaware limited liability company (the "General Partner"), an indirect wholly owned subsidiary of Enron, will manage the business and affairs of Net Works.    The General Partner shall contribute credit enhancement protection to Net Works' counterparties, certain management capabilities, and technical capabilities developed by EnronOnline in exchange for a 1% partnership interest in Net Works.</w:t>
            </w:r>
          </w:p>
        </w:tc>
      </w:tr>
      <w:tr>
        <w:trPr/>
        <w:tc>
          <w:tcPr>
            <w:tcW w:w="3268" w:type="dxa"/>
            <w:tcBorders/>
          </w:tcPr>
          <w:p>
            <w:pPr>
              <w:pStyle w:val="Normal"/>
              <w:tabs>
                <w:tab w:val="clear" w:pos="720"/>
              </w:tabs>
              <w:bidi w:val="0"/>
              <w:spacing w:before="120" w:after="60"/>
              <w:jc w:val="start"/>
              <w:rPr>
                <w:rFonts w:ascii="Times New Roman" w:hAnsi="Times New Roman"/>
                <w:b/>
                <w:sz w:val="22"/>
              </w:rPr>
            </w:pPr>
            <w:r>
              <w:rPr>
                <w:rFonts w:ascii="Times New Roman" w:hAnsi="Times New Roman"/>
                <w:b/>
                <w:sz w:val="22"/>
              </w:rPr>
              <w:t>Offering of Limited Partnership Interests:</w:t>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tc>
        <w:tc>
          <w:tcPr>
            <w:tcW w:w="5370" w:type="dxa"/>
            <w:tcBorders/>
          </w:tcPr>
          <w:p>
            <w:pPr>
              <w:pStyle w:val="JustifiedBody"/>
              <w:tabs>
                <w:tab w:val="clear" w:pos="720"/>
              </w:tabs>
              <w:bidi w:val="0"/>
              <w:spacing w:before="120" w:after="60"/>
              <w:rPr/>
            </w:pPr>
            <w:r>
              <w:rPr>
                <w:rFonts w:ascii="Times New Roman" w:hAnsi="Times New Roman"/>
              </w:rPr>
              <w:t>Net Works is offering $1.0 billion of limited partnership interests (excluding limited partnership interests acquired by Enron).    The General Partner may increase or decrease the size of the offering.    Holders of the limited partnership interests are collectively referred to herein as the “Limited Partners” and together with the General Partner as the “Partners”.</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Enron’s Limited Partnership Interest:</w:t>
            </w:r>
          </w:p>
        </w:tc>
        <w:tc>
          <w:tcPr>
            <w:tcW w:w="5370" w:type="dxa"/>
            <w:tcBorders/>
          </w:tcPr>
          <w:p>
            <w:pPr>
              <w:pStyle w:val="JustifiedBody"/>
              <w:tabs>
                <w:tab w:val="clear" w:pos="720"/>
              </w:tabs>
              <w:bidi w:val="0"/>
              <w:spacing w:before="120" w:after="60"/>
              <w:rPr/>
            </w:pPr>
            <w:r>
              <w:rPr>
                <w:rFonts w:ascii="Times New Roman" w:hAnsi="Times New Roman"/>
              </w:rPr>
              <w:t>At the Initial Closing Date, Enron shall contribute the Contributed Assets in exchange for a limited partnership interest in Net Works.</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Contributed Assets:</w:t>
            </w:r>
          </w:p>
        </w:tc>
        <w:tc>
          <w:tcPr>
            <w:tcW w:w="5370" w:type="dxa"/>
            <w:tcBorders/>
          </w:tcPr>
          <w:p>
            <w:pPr>
              <w:pStyle w:val="JustifiedBody"/>
              <w:tabs>
                <w:tab w:val="clear" w:pos="720"/>
              </w:tabs>
              <w:bidi w:val="0"/>
              <w:spacing w:before="120" w:after="60"/>
              <w:rPr/>
            </w:pPr>
            <w:r>
              <w:rPr>
                <w:rFonts w:ascii="Times New Roman" w:hAnsi="Times New Roman"/>
              </w:rPr>
              <w:t>Enron's existing pulp and paper business, Garden State Paper and, at Enron’s sole discretion, cash.</w:t>
            </w:r>
          </w:p>
        </w:tc>
      </w:tr>
      <w:tr>
        <w:trPr/>
        <w:tc>
          <w:tcPr>
            <w:tcW w:w="3268" w:type="dxa"/>
            <w:tcBorders/>
          </w:tcPr>
          <w:p>
            <w:pPr>
              <w:pStyle w:val="Normal"/>
              <w:tabs>
                <w:tab w:val="clear" w:pos="720"/>
              </w:tabs>
              <w:bidi w:val="0"/>
              <w:spacing w:before="120" w:after="60"/>
              <w:jc w:val="start"/>
              <w:rPr>
                <w:rFonts w:ascii="Times New Roman" w:hAnsi="Times New Roman"/>
                <w:b/>
                <w:sz w:val="22"/>
              </w:rPr>
            </w:pPr>
            <w:r>
              <w:rPr>
                <w:rFonts w:ascii="Times New Roman" w:hAnsi="Times New Roman"/>
                <w:b/>
                <w:sz w:val="22"/>
              </w:rPr>
              <w:t>Term:</w:t>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tc>
        <w:tc>
          <w:tcPr>
            <w:tcW w:w="5370" w:type="dxa"/>
            <w:tcBorders/>
          </w:tcPr>
          <w:p>
            <w:pPr>
              <w:pStyle w:val="JustifiedBody"/>
              <w:tabs>
                <w:tab w:val="clear" w:pos="720"/>
              </w:tabs>
              <w:bidi w:val="0"/>
              <w:spacing w:before="120" w:after="60"/>
              <w:rPr/>
            </w:pPr>
            <w:r>
              <w:rPr>
                <w:rFonts w:ascii="Times New Roman" w:hAnsi="Times New Roman"/>
              </w:rPr>
              <w:t>Net Works' term will continue until the second anniversary of the initial Commitment Period, unless earlier terminated as set forth under “Termination” below.</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Initial Closing Date:</w:t>
            </w:r>
          </w:p>
        </w:tc>
        <w:tc>
          <w:tcPr>
            <w:tcW w:w="5370" w:type="dxa"/>
            <w:tcBorders/>
          </w:tcPr>
          <w:p>
            <w:pPr>
              <w:pStyle w:val="JustifiedBody"/>
              <w:tabs>
                <w:tab w:val="clear" w:pos="720"/>
              </w:tabs>
              <w:bidi w:val="0"/>
              <w:spacing w:before="120" w:after="60"/>
              <w:rPr/>
            </w:pPr>
            <w:r>
              <w:rPr>
                <w:rFonts w:ascii="Times New Roman" w:hAnsi="Times New Roman"/>
              </w:rPr>
              <w:t xml:space="preserve">The initial closing will be on or before </w:t>
            </w:r>
            <w:r>
              <w:rPr>
                <w:rFonts w:ascii="Times New Roman" w:hAnsi="Times New Roman"/>
                <w:strike/>
              </w:rPr>
              <w:t>{September 29}</w:t>
            </w:r>
            <w:r>
              <w:rPr>
                <w:rFonts w:ascii="Times New Roman" w:hAnsi="Times New Roman"/>
              </w:rPr>
              <w:t xml:space="preserve"> </w:t>
            </w:r>
            <w:r>
              <w:rPr>
                <w:rFonts w:ascii="Times New Roman" w:hAnsi="Times New Roman"/>
                <w:u w:val="single"/>
              </w:rPr>
              <w:t>[October 20]</w:t>
            </w:r>
            <w:r>
              <w:rPr>
                <w:rFonts w:ascii="Times New Roman" w:hAnsi="Times New Roman"/>
              </w:rPr>
              <w:t>, 2000 (the “Initial Closing Date”).</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Qualified Investments:</w:t>
            </w:r>
          </w:p>
        </w:tc>
        <w:tc>
          <w:tcPr>
            <w:tcW w:w="5370" w:type="dxa"/>
            <w:tcBorders/>
          </w:tcPr>
          <w:p>
            <w:pPr>
              <w:pStyle w:val="JustifiedBody"/>
              <w:tabs>
                <w:tab w:val="clear" w:pos="720"/>
              </w:tabs>
              <w:bidi w:val="0"/>
              <w:spacing w:before="120" w:after="60"/>
              <w:rPr/>
            </w:pPr>
            <w:r>
              <w:rPr>
                <w:rFonts w:ascii="Times New Roman" w:hAnsi="Times New Roman"/>
              </w:rPr>
              <w:t xml:space="preserve">Net Works will make investments in or acquisitions of businesses in the Targeted Industries (“Qualified Investments”).    The Board of Directors of Net Works shall have the right to approve each Qualified Investment that exceeds </w:t>
            </w:r>
            <w:r>
              <w:rPr>
                <w:rFonts w:ascii="Times New Roman" w:hAnsi="Times New Roman"/>
                <w:strike/>
              </w:rPr>
              <w:t>{$75 million. If any such Qualified Investment is not approved by the Board of Directors, Enron may pursue such opportunity (and any opportunity relating to the industry or line of business involved in such opportunity) without any obligation to offer any interest therein to Net Works.}</w:t>
            </w:r>
            <w:r>
              <w:rPr>
                <w:rFonts w:ascii="Times New Roman" w:hAnsi="Times New Roman"/>
              </w:rPr>
              <w:t xml:space="preserve"> </w:t>
            </w:r>
            <w:r>
              <w:rPr>
                <w:rFonts w:ascii="Times New Roman" w:hAnsi="Times New Roman"/>
                <w:u w:val="single"/>
              </w:rPr>
              <w:t>[$15 million.]</w:t>
            </w:r>
            <w:r>
              <w:rPr>
                <w:rFonts w:ascii="Times New Roman" w:hAnsi="Times New Roman"/>
              </w:rPr>
              <w:t xml:space="preserve">    </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Excluded Businesses:</w:t>
            </w:r>
          </w:p>
        </w:tc>
        <w:tc>
          <w:tcPr>
            <w:tcW w:w="5370" w:type="dxa"/>
            <w:tcBorders/>
          </w:tcPr>
          <w:p>
            <w:pPr>
              <w:pStyle w:val="Normal"/>
              <w:tabs>
                <w:tab w:val="clear" w:pos="720"/>
              </w:tabs>
              <w:bidi w:val="0"/>
              <w:spacing w:before="120" w:after="60"/>
              <w:jc w:val="both"/>
              <w:rPr/>
            </w:pPr>
            <w:r>
              <w:rPr>
                <w:rFonts w:ascii="Times New Roman" w:hAnsi="Times New Roman"/>
                <w:sz w:val="22"/>
              </w:rPr>
              <w:t>Enron shall have the right, without any obligation</w:t>
            </w:r>
            <w:r>
              <w:rPr>
                <w:rFonts w:ascii="Times New Roman" w:hAnsi="Times New Roman"/>
                <w:sz w:val="22"/>
                <w:u w:val="single"/>
              </w:rPr>
              <w:t>[,]</w:t>
            </w:r>
            <w:r>
              <w:rPr>
                <w:rFonts w:ascii="Times New Roman" w:hAnsi="Times New Roman"/>
                <w:sz w:val="22"/>
              </w:rPr>
              <w:t xml:space="preserve"> to offer any opportunity to Net Works therein, to undertake any business activities of any kind or character in each industry or line of business other than in the Targeted Industries, including, without limitation, petrochemicals, data storage, base metals, gas, power, broadband, emissions credits, coal and all other existing or future business activities of Enron or its affiliates (the “Excluded Businesses”).    Opportunities that come to Net Works outside of the Targeted Industries shall be considered Excluded Businesses and will belong to Enron. </w:t>
            </w:r>
            <w:r>
              <w:rPr>
                <w:rFonts w:ascii="Times New Roman" w:hAnsi="Times New Roman"/>
                <w:sz w:val="22"/>
                <w:u w:val="single"/>
              </w:rPr>
              <w:t>[If any opportunity presented to the Board of Directors is not approved by the Board, Enron may pursue such opportunity (and any opportunity relating to the industry or line of business involved in such opportunity) without any further obligation to offer any interest therein or related thereto to Net Works.]</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Eligible Investors:</w:t>
            </w:r>
          </w:p>
        </w:tc>
        <w:tc>
          <w:tcPr>
            <w:tcW w:w="5370" w:type="dxa"/>
            <w:tcBorders/>
          </w:tcPr>
          <w:p>
            <w:pPr>
              <w:pStyle w:val="JustifiedBody"/>
              <w:tabs>
                <w:tab w:val="clear" w:pos="720"/>
              </w:tabs>
              <w:bidi w:val="0"/>
              <w:spacing w:before="120" w:after="60"/>
              <w:rPr/>
            </w:pPr>
            <w:r>
              <w:rPr>
                <w:rFonts w:ascii="Times New Roman" w:hAnsi="Times New Roman"/>
              </w:rPr>
              <w:t>Investment in Net Works is open to Enron and a selected group of private equity investors, including venture capital, buyout investors, financial institutions, private foundations and endowments, governmental pension plans and private pension plans, in each case who are "qualified purchasers" within the meaning of the Investment Company Act of 1940 (the "Investment Company Act")(provided, that no more than 25% of the interests in Net Works may be held by private pension plans and any government plans that treat themselves as plans subject to the Employee Retirement Income Security Act of 1974 (“ERISA")). Investors subject to ERISA will be required to make certain customary representations or provide assurances in order that the General Partner may determine compliance with ERISA.</w:t>
            </w:r>
          </w:p>
        </w:tc>
      </w:tr>
      <w:tr>
        <w:trPr/>
        <w:tc>
          <w:tcPr>
            <w:tcW w:w="3268" w:type="dxa"/>
            <w:tcBorders/>
          </w:tcPr>
          <w:p>
            <w:pPr>
              <w:pStyle w:val="Normal"/>
              <w:tabs>
                <w:tab w:val="clear" w:pos="720"/>
              </w:tabs>
              <w:bidi w:val="0"/>
              <w:spacing w:before="120" w:after="60"/>
              <w:jc w:val="start"/>
              <w:rPr>
                <w:rFonts w:ascii="Times New Roman" w:hAnsi="Times New Roman"/>
                <w:b/>
                <w:sz w:val="22"/>
              </w:rPr>
            </w:pPr>
            <w:r>
              <w:rPr>
                <w:rFonts w:ascii="Times New Roman" w:hAnsi="Times New Roman"/>
                <w:b/>
                <w:sz w:val="22"/>
              </w:rPr>
              <w:t>Commitment Period:</w:t>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tc>
        <w:tc>
          <w:tcPr>
            <w:tcW w:w="5370" w:type="dxa"/>
            <w:tcBorders/>
          </w:tcPr>
          <w:p>
            <w:pPr>
              <w:pStyle w:val="JustifiedBody"/>
              <w:tabs>
                <w:tab w:val="clear" w:pos="720"/>
                <w:tab w:val="left" w:pos="432" w:leader="none"/>
              </w:tabs>
              <w:bidi w:val="0"/>
              <w:spacing w:before="120" w:after="0"/>
              <w:rPr>
                <w:rFonts w:ascii="Times New Roman" w:hAnsi="Times New Roman"/>
              </w:rPr>
            </w:pPr>
            <w:r>
              <w:rPr>
                <w:rFonts w:ascii="Times New Roman" w:hAnsi="Times New Roman"/>
              </w:rPr>
              <w:t xml:space="preserve">The period during which capital commitments may be drawn (the “Commitment Period”) will begin on the Initial Closing Date and will end on the third anniversary of the final subsequent Closing Date.    The Commitment Period may be extended beyond such third anniversary by the General Partner; provided that the Commitment Period may not be extended beyond the fifth anniversary of the Initial Closing Date.    </w:t>
            </w:r>
          </w:p>
          <w:p>
            <w:pPr>
              <w:pStyle w:val="JustifiedBody"/>
              <w:tabs>
                <w:tab w:val="clear" w:pos="720"/>
                <w:tab w:val="left" w:pos="432" w:leader="none"/>
              </w:tabs>
              <w:bidi w:val="0"/>
              <w:spacing w:before="120" w:after="0"/>
              <w:rPr>
                <w:rFonts w:ascii="Times New Roman" w:hAnsi="Times New Roman"/>
              </w:rPr>
            </w:pPr>
            <w:r>
              <w:rPr>
                <w:rFonts w:ascii="Times New Roman" w:hAnsi="Times New Roman"/>
              </w:rPr>
              <w:t>Upon the expiration of the Commitment Period (as extended, if extended), all Partners will have no further obligation with respect to their unfunded capital commitments, except to the extent necessary to (i) complete investments by Net Works in transactions for which Net Works is committed (by agreement or by letter of intent, memorandum of understanding or other pre-contractual expression of mutual intention to complete a described Qualified Investment) prior to the end of the Commitment Period, and (ii) complete investments by Net Works in transactions that have had an initial closing as of the end of the Commitment Period (or thereafter as permitted by clause (i)) but which have not yet been fully funded.</w:t>
            </w:r>
          </w:p>
          <w:p>
            <w:pPr>
              <w:pStyle w:val="Normal"/>
              <w:tabs>
                <w:tab w:val="clear" w:pos="720"/>
                <w:tab w:val="left" w:pos="-18" w:leader="none"/>
              </w:tabs>
              <w:bidi w:val="0"/>
              <w:spacing w:before="120" w:after="60"/>
              <w:jc w:val="both"/>
              <w:rPr/>
            </w:pPr>
            <w:r>
              <w:rPr>
                <w:rFonts w:ascii="Times New Roman" w:hAnsi="Times New Roman"/>
                <w:sz w:val="22"/>
              </w:rPr>
              <w:t>Capital commitments may be drawn down to fund the investments and acquisitions, to repay indebtedness under any credit facility of Net Works or businesses as acquired by Net Works, and to fund working capital needs. A minimum of five calendar days written notice for funding of capital commitments will be given by the General Partner.    Such notice will specify the funding date, amount and proposed use of proceeds for each drawdown, as well as provide payment instructions.</w:t>
            </w:r>
          </w:p>
        </w:tc>
      </w:tr>
      <w:tr>
        <w:trPr/>
        <w:tc>
          <w:tcPr>
            <w:tcW w:w="3268" w:type="dxa"/>
            <w:tcBorders/>
          </w:tcPr>
          <w:p>
            <w:pPr>
              <w:pStyle w:val="Normal"/>
              <w:tabs>
                <w:tab w:val="clear" w:pos="720"/>
              </w:tabs>
              <w:bidi w:val="0"/>
              <w:spacing w:before="120" w:after="60"/>
              <w:jc w:val="start"/>
              <w:rPr>
                <w:rFonts w:ascii="Times New Roman" w:hAnsi="Times New Roman"/>
                <w:b/>
                <w:sz w:val="22"/>
              </w:rPr>
            </w:pPr>
            <w:r>
              <w:rPr>
                <w:rFonts w:ascii="Times New Roman" w:hAnsi="Times New Roman"/>
                <w:b/>
                <w:sz w:val="22"/>
              </w:rPr>
              <w:t>Reporting and Meetings:</w:t>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60"/>
              <w:jc w:val="start"/>
              <w:rPr/>
            </w:pPr>
            <w:r>
              <w:rPr>
                <w:rFonts w:ascii="Times New Roman" w:hAnsi="Times New Roman"/>
                <w:b/>
                <w:sz w:val="22"/>
              </w:rPr>
              <w:t>Management/Board of Directors:</w:t>
            </w:r>
          </w:p>
        </w:tc>
        <w:tc>
          <w:tcPr>
            <w:tcW w:w="5370" w:type="dxa"/>
            <w:tcBorders/>
          </w:tcPr>
          <w:p>
            <w:pPr>
              <w:pStyle w:val="JustifiedBody"/>
              <w:tabs>
                <w:tab w:val="clear" w:pos="720"/>
              </w:tabs>
              <w:bidi w:val="0"/>
              <w:spacing w:before="120" w:after="0"/>
              <w:rPr>
                <w:rFonts w:ascii="Times New Roman" w:hAnsi="Times New Roman"/>
              </w:rPr>
            </w:pPr>
            <w:r>
              <w:rPr>
                <w:rFonts w:ascii="Times New Roman" w:hAnsi="Times New Roman"/>
              </w:rPr>
              <w:t>Each Partner will receive (i) audited annual financial reports of Net Works; (ii) quarterly unaudited financial reports of Net Works; and (iii) other information, as specified in the Partnership Agreement.</w:t>
            </w:r>
          </w:p>
          <w:p>
            <w:pPr>
              <w:pStyle w:val="TableText"/>
              <w:tabs>
                <w:tab w:val="clear" w:pos="720"/>
              </w:tabs>
              <w:bidi w:val="0"/>
              <w:spacing w:before="120" w:after="0"/>
              <w:rPr>
                <w:rFonts w:ascii="Times New Roman" w:hAnsi="Times New Roman"/>
              </w:rPr>
            </w:pPr>
            <w:r>
              <w:rPr>
                <w:rFonts w:ascii="Times New Roman" w:hAnsi="Times New Roman"/>
              </w:rPr>
              <w:t>Net Works will grant to each Partner a reasonable right of access to information regarding Net Works tax returns and distributions and visitation rights to permit each Partner to inspect such information, and to monitor Net Works investments.    The Partners will agree to an appropriate reporting mechanism with respect to individual businesses acquired by Net Works.</w:t>
            </w:r>
          </w:p>
          <w:p>
            <w:pPr>
              <w:pStyle w:val="Normal"/>
              <w:tabs>
                <w:tab w:val="clear" w:pos="720"/>
              </w:tabs>
              <w:bidi w:val="0"/>
              <w:spacing w:before="120" w:after="60"/>
              <w:jc w:val="start"/>
              <w:rPr>
                <w:rFonts w:ascii="Times New Roman" w:hAnsi="Times New Roman"/>
                <w:sz w:val="22"/>
              </w:rPr>
            </w:pPr>
            <w:r>
              <w:rPr>
                <w:rFonts w:ascii="Times New Roman" w:hAnsi="Times New Roman"/>
                <w:sz w:val="22"/>
              </w:rPr>
              <w:t>The Partnership Agreement will provide for annual meetings of the Partners.</w:t>
            </w:r>
          </w:p>
          <w:p>
            <w:pPr>
              <w:pStyle w:val="Normal"/>
              <w:tabs>
                <w:tab w:val="clear" w:pos="720"/>
              </w:tabs>
              <w:suppressAutoHyphens w:val="true"/>
              <w:bidi w:val="0"/>
              <w:spacing w:before="120" w:after="0"/>
              <w:ind w:hanging="0" w:start="-14"/>
              <w:jc w:val="both"/>
              <w:rPr>
                <w:rFonts w:ascii="Times New Roman" w:hAnsi="Times New Roman"/>
                <w:sz w:val="22"/>
              </w:rPr>
            </w:pPr>
            <w:r>
              <w:rPr>
                <w:rFonts w:ascii="Times New Roman" w:hAnsi="Times New Roman"/>
                <w:sz w:val="22"/>
              </w:rPr>
              <w:t>Day-to-day management of Net Works and the structuring and negotiation of investments and acquisitions will be performed under the direction of the General Partner by employees of Enron pursuant to a services agreement to be entered into between Enron and Net Works. For services provided by Enron under the services agreement, Enron will be paid (i) a fee</w:t>
            </w:r>
            <w:r>
              <w:rPr>
                <w:rFonts w:ascii="Times New Roman" w:hAnsi="Times New Roman"/>
                <w:sz w:val="22"/>
                <w:u w:val="single"/>
              </w:rPr>
              <w:t>[, approved by the Board of Directors in the annual budget,]</w:t>
            </w:r>
            <w:r>
              <w:rPr>
                <w:rFonts w:ascii="Times New Roman" w:hAnsi="Times New Roman"/>
                <w:sz w:val="22"/>
              </w:rPr>
              <w:t xml:space="preserve"> designed to reimburse Enron for its direct costs and (ii) a </w:t>
            </w:r>
            <w:r>
              <w:rPr>
                <w:rFonts w:ascii="Times New Roman" w:hAnsi="Times New Roman"/>
                <w:sz w:val="22"/>
                <w:u w:val="single"/>
              </w:rPr>
              <w:t>[fixed]</w:t>
            </w:r>
            <w:r>
              <w:rPr>
                <w:rFonts w:ascii="Times New Roman" w:hAnsi="Times New Roman"/>
                <w:sz w:val="22"/>
              </w:rPr>
              <w:t xml:space="preserve"> fee to reimburse Enron for the indirect costs of services rendered as contemplated by the services agreement.</w:t>
            </w:r>
          </w:p>
          <w:p>
            <w:pPr>
              <w:pStyle w:val="Normal"/>
              <w:tabs>
                <w:tab w:val="clear" w:pos="720"/>
              </w:tabs>
              <w:suppressAutoHyphens w:val="true"/>
              <w:bidi w:val="0"/>
              <w:spacing w:before="120" w:after="120"/>
              <w:ind w:hanging="0" w:start="-14"/>
              <w:jc w:val="both"/>
              <w:rPr>
                <w:rFonts w:ascii="Times New Roman" w:hAnsi="Times New Roman"/>
                <w:b/>
                <w:i/>
                <w:i/>
                <w:sz w:val="22"/>
                <w:u w:val="single"/>
              </w:rPr>
            </w:pPr>
            <w:r>
              <w:rPr>
                <w:rFonts w:ascii="Times New Roman" w:hAnsi="Times New Roman"/>
                <w:sz w:val="22"/>
              </w:rPr>
              <w:t>Net Works will have a Board of Directors, consisting of four directors appointed by Enron and four directors appointed collectively by the vote of a majority in sharing ratios of the Limited Partners (other than Enron).    A majority of the Board of Directors will constitute a quorum.    Officers and personnel of Enron will oversee the operations of Net Works on a day-to-day basis.    Certain business activities will be subject to the Board's consent rights described below.    The Board of Directors shall review and approve annual budgets prepared by Enron for Net Works’ activities.    Neither Net Works nor the General Partner on behalf of Net Works may take any of the following actions without the consent of a majority of the entire Board of Directors of Net Works:</w:t>
            </w:r>
          </w:p>
          <w:p>
            <w:pPr>
              <w:pStyle w:val="Normal"/>
              <w:tabs>
                <w:tab w:val="left" w:pos="720" w:leader="none"/>
                <w:tab w:val="left" w:pos="1440" w:leader="none"/>
              </w:tabs>
              <w:bidi w:val="0"/>
              <w:spacing w:before="0" w:after="60"/>
              <w:ind w:hanging="346" w:start="346"/>
              <w:jc w:val="both"/>
              <w:rPr>
                <w:rFonts w:ascii="Times New Roman" w:hAnsi="Times New Roman"/>
                <w:sz w:val="22"/>
              </w:rPr>
            </w:pPr>
            <w:r>
              <w:rPr>
                <w:rFonts w:ascii="Times New Roman" w:hAnsi="Times New Roman"/>
                <w:sz w:val="22"/>
              </w:rPr>
              <w:t>i)</w:t>
              <w:tab/>
              <w:t xml:space="preserve">acquire any Qualified Investment (including capital commitments and debt incurred or assumed) exceeding </w:t>
            </w:r>
            <w:r>
              <w:rPr>
                <w:rFonts w:ascii="Times New Roman" w:hAnsi="Times New Roman"/>
                <w:strike/>
                <w:sz w:val="22"/>
              </w:rPr>
              <w:t>{$75}</w:t>
            </w:r>
            <w:r>
              <w:rPr>
                <w:rFonts w:ascii="Times New Roman" w:hAnsi="Times New Roman"/>
                <w:sz w:val="22"/>
              </w:rPr>
              <w:t xml:space="preserve"> </w:t>
            </w:r>
            <w:r>
              <w:rPr>
                <w:rFonts w:ascii="Times New Roman" w:hAnsi="Times New Roman"/>
                <w:sz w:val="22"/>
                <w:u w:val="single"/>
              </w:rPr>
              <w:t>[$15]</w:t>
            </w:r>
            <w:r>
              <w:rPr>
                <w:rFonts w:ascii="Times New Roman" w:hAnsi="Times New Roman"/>
                <w:sz w:val="22"/>
              </w:rPr>
              <w:t xml:space="preserve"> million;</w:t>
            </w:r>
          </w:p>
          <w:p>
            <w:pPr>
              <w:pStyle w:val="Normal"/>
              <w:tabs>
                <w:tab w:val="left" w:pos="720" w:leader="none"/>
                <w:tab w:val="left" w:pos="1440" w:leader="none"/>
              </w:tabs>
              <w:bidi w:val="0"/>
              <w:spacing w:before="0" w:after="60"/>
              <w:ind w:hanging="346" w:start="346"/>
              <w:jc w:val="both"/>
              <w:rPr>
                <w:rFonts w:ascii="Times New Roman" w:hAnsi="Times New Roman"/>
                <w:sz w:val="22"/>
              </w:rPr>
            </w:pPr>
            <w:r>
              <w:rPr>
                <w:rFonts w:ascii="Times New Roman" w:hAnsi="Times New Roman"/>
                <w:sz w:val="22"/>
              </w:rPr>
              <w:t>ii)</w:t>
              <w:tab/>
              <w:t xml:space="preserve">divest of any investment exceeding </w:t>
            </w:r>
            <w:r>
              <w:rPr>
                <w:rFonts w:ascii="Times New Roman" w:hAnsi="Times New Roman"/>
                <w:strike/>
                <w:sz w:val="22"/>
              </w:rPr>
              <w:t>{$75}</w:t>
            </w:r>
            <w:r>
              <w:rPr>
                <w:rFonts w:ascii="Times New Roman" w:hAnsi="Times New Roman"/>
                <w:sz w:val="22"/>
              </w:rPr>
              <w:t xml:space="preserve"> </w:t>
            </w:r>
            <w:r>
              <w:rPr>
                <w:rFonts w:ascii="Times New Roman" w:hAnsi="Times New Roman"/>
                <w:sz w:val="22"/>
                <w:u w:val="single"/>
              </w:rPr>
              <w:t>[$15]</w:t>
            </w:r>
            <w:r>
              <w:rPr>
                <w:rFonts w:ascii="Times New Roman" w:hAnsi="Times New Roman"/>
                <w:sz w:val="22"/>
              </w:rPr>
              <w:t xml:space="preserve"> million;</w:t>
            </w:r>
          </w:p>
          <w:p>
            <w:pPr>
              <w:pStyle w:val="Normal"/>
              <w:tabs>
                <w:tab w:val="left" w:pos="720" w:leader="none"/>
                <w:tab w:val="left" w:pos="1440" w:leader="none"/>
              </w:tabs>
              <w:bidi w:val="0"/>
              <w:spacing w:before="0" w:after="60"/>
              <w:ind w:hanging="346" w:start="346"/>
              <w:jc w:val="both"/>
              <w:rPr>
                <w:rFonts w:ascii="Times New Roman" w:hAnsi="Times New Roman"/>
                <w:sz w:val="22"/>
              </w:rPr>
            </w:pPr>
            <w:r>
              <w:rPr>
                <w:rFonts w:ascii="Times New Roman" w:hAnsi="Times New Roman"/>
                <w:sz w:val="22"/>
              </w:rPr>
              <w:t>iii)</w:t>
              <w:tab/>
              <w:t>set Net Works' financial policies regarding capital structure, including the issuance of debt or equity interests in excess of amounts established by the Board of Directors of Net Works;</w:t>
            </w:r>
          </w:p>
          <w:p>
            <w:pPr>
              <w:pStyle w:val="Normal"/>
              <w:tabs>
                <w:tab w:val="left" w:pos="720" w:leader="none"/>
                <w:tab w:val="left" w:pos="1440" w:leader="none"/>
              </w:tabs>
              <w:bidi w:val="0"/>
              <w:spacing w:before="0" w:after="60"/>
              <w:ind w:hanging="346" w:start="346"/>
              <w:jc w:val="both"/>
              <w:rPr>
                <w:rFonts w:ascii="Times New Roman" w:hAnsi="Times New Roman"/>
                <w:sz w:val="22"/>
              </w:rPr>
            </w:pPr>
            <w:r>
              <w:rPr>
                <w:rFonts w:ascii="Times New Roman" w:hAnsi="Times New Roman"/>
                <w:sz w:val="22"/>
              </w:rPr>
              <w:t>iv)</w:t>
              <w:tab/>
              <w:t>enter into, modify, terminate or waive any right under any material agreement or transaction (other than as contemplated by the transaction documents) between Net Works and Enron if the value of the consideration to be paid, received, loaned or otherwise delivered by Net Works pursuant to such agreement or transaction is greater than $25 million;</w:t>
            </w:r>
          </w:p>
          <w:p>
            <w:pPr>
              <w:pStyle w:val="Normal"/>
              <w:tabs>
                <w:tab w:val="left" w:pos="720" w:leader="none"/>
                <w:tab w:val="left" w:pos="1440" w:leader="none"/>
              </w:tabs>
              <w:bidi w:val="0"/>
              <w:spacing w:before="0" w:after="60"/>
              <w:ind w:hanging="346" w:start="346"/>
              <w:jc w:val="both"/>
              <w:rPr>
                <w:rFonts w:ascii="Times New Roman" w:hAnsi="Times New Roman"/>
                <w:sz w:val="22"/>
              </w:rPr>
            </w:pPr>
            <w:r>
              <w:rPr>
                <w:rFonts w:ascii="Times New Roman" w:hAnsi="Times New Roman"/>
                <w:sz w:val="22"/>
              </w:rPr>
              <w:t xml:space="preserve">v) </w:t>
              <w:tab/>
              <w:t xml:space="preserve">make capital expenditures that exceed amounts contained in previously approved budgets by more than 25%; </w:t>
            </w:r>
          </w:p>
          <w:p>
            <w:pPr>
              <w:pStyle w:val="Normal"/>
              <w:tabs>
                <w:tab w:val="left" w:pos="720" w:leader="none"/>
                <w:tab w:val="left" w:pos="1440" w:leader="none"/>
              </w:tabs>
              <w:bidi w:val="0"/>
              <w:spacing w:before="0" w:after="60"/>
              <w:ind w:hanging="346" w:start="346"/>
              <w:jc w:val="both"/>
              <w:rPr>
                <w:rFonts w:ascii="Times New Roman" w:hAnsi="Times New Roman"/>
                <w:sz w:val="22"/>
              </w:rPr>
            </w:pPr>
            <w:r>
              <w:rPr>
                <w:rFonts w:ascii="Times New Roman" w:hAnsi="Times New Roman"/>
                <w:sz w:val="22"/>
              </w:rPr>
              <w:t>vi)</w:t>
              <w:tab/>
              <w:t xml:space="preserve">appoint any independent accountant or firm of independent accountants other than one of the "big five" international accounting firms to serve as Net Works’ or any of its businesses’ auditors; and      </w:t>
            </w:r>
          </w:p>
          <w:p>
            <w:pPr>
              <w:pStyle w:val="Normal"/>
              <w:tabs>
                <w:tab w:val="left" w:pos="720" w:leader="none"/>
                <w:tab w:val="left" w:pos="1440" w:leader="none"/>
              </w:tabs>
              <w:bidi w:val="0"/>
              <w:spacing w:before="0" w:after="60"/>
              <w:ind w:hanging="346" w:start="346"/>
              <w:jc w:val="both"/>
              <w:rPr>
                <w:rFonts w:ascii="Times New Roman" w:hAnsi="Times New Roman"/>
                <w:sz w:val="22"/>
              </w:rPr>
            </w:pPr>
            <w:r>
              <w:rPr>
                <w:rFonts w:ascii="Times New Roman" w:hAnsi="Times New Roman"/>
                <w:sz w:val="22"/>
              </w:rPr>
              <w:t>vii)</w:t>
              <w:tab/>
              <w:t xml:space="preserve">commence for Net Works a voluntary case or proceeding under any applicable Federal, State or foreign bankruptcy, insolvency, reorganization or other similar law or any other voluntary case or proceeding to be adjudicated bankrupt or insolvent or consent for Net Works to the entry of a decree or order for relief against Net Works in an involuntary case or proceeding under any applicable Federal, State or foreign bankruptcy or insolvency case or proceeding against Net Works, or file for Net Works a petition or answer or consent seeking reorganization or relief under any applicable Federal, State or foreign law, or consent for Net Works to the filing of such petition or to the appointment of or taking possession by a custodian, receiver, liquidator, assignee, trustee, sequestrator or similar official of any substantial part of its property, or make for Net Works an assignment for the benefit of creditors, or admit for Net Works in writing of its inability to pay its debts generally as they become due, or take action in furtherance of any such action; </w:t>
            </w:r>
          </w:p>
          <w:p>
            <w:pPr>
              <w:pStyle w:val="Normal"/>
              <w:tabs>
                <w:tab w:val="clear" w:pos="720"/>
              </w:tabs>
              <w:bidi w:val="0"/>
              <w:spacing w:before="60" w:after="60"/>
              <w:jc w:val="start"/>
              <w:rPr>
                <w:rFonts w:ascii="Times New Roman" w:hAnsi="Times New Roman"/>
                <w:sz w:val="22"/>
              </w:rPr>
            </w:pPr>
            <w:r>
              <w:rPr>
                <w:rFonts w:ascii="Times New Roman" w:hAnsi="Times New Roman"/>
                <w:sz w:val="22"/>
              </w:rPr>
              <w:t>In addition, a majority in sharing ratios of the Limited Partners    will have the right:</w:t>
            </w:r>
          </w:p>
          <w:p>
            <w:pPr>
              <w:pStyle w:val="BodyTextIndent2"/>
              <w:tabs>
                <w:tab w:val="clear" w:pos="720"/>
              </w:tabs>
              <w:bidi w:val="0"/>
              <w:ind w:hanging="342" w:start="342"/>
              <w:rPr>
                <w:rFonts w:ascii="Times New Roman" w:hAnsi="Times New Roman"/>
              </w:rPr>
            </w:pPr>
            <w:r>
              <w:rPr>
                <w:rFonts w:ascii="Times New Roman" w:hAnsi="Times New Roman"/>
              </w:rPr>
              <w:t>i)</w:t>
              <w:tab/>
              <w:t>to terminate Enron Net Works Management, LLC as General Partner if the General Partner takes or fails to take any action or engages in any course of conduct that constitutes gross negligence or willful misconduct (a “Removal Event”);</w:t>
            </w:r>
          </w:p>
          <w:p>
            <w:pPr>
              <w:pStyle w:val="Normal"/>
              <w:tabs>
                <w:tab w:val="clear" w:pos="720"/>
              </w:tabs>
              <w:bidi w:val="0"/>
              <w:spacing w:before="60" w:after="60"/>
              <w:ind w:hanging="342" w:start="342"/>
              <w:jc w:val="both"/>
              <w:rPr>
                <w:rFonts w:ascii="Times New Roman" w:hAnsi="Times New Roman"/>
                <w:sz w:val="22"/>
              </w:rPr>
            </w:pPr>
            <w:r>
              <w:rPr>
                <w:rFonts w:ascii="Times New Roman" w:hAnsi="Times New Roman"/>
                <w:sz w:val="22"/>
              </w:rPr>
              <w:t>ii)</w:t>
              <w:tab/>
              <w:t>upon such termination, to appoint and remove a successor General Partner for Net Works; and</w:t>
            </w:r>
          </w:p>
          <w:p>
            <w:pPr>
              <w:pStyle w:val="Normal"/>
              <w:tabs>
                <w:tab w:val="clear" w:pos="720"/>
                <w:tab w:val="left" w:pos="330" w:leader="none"/>
              </w:tabs>
              <w:bidi w:val="0"/>
              <w:spacing w:before="120" w:after="60"/>
              <w:ind w:hanging="346" w:start="346"/>
              <w:jc w:val="start"/>
              <w:rPr/>
            </w:pPr>
            <w:r>
              <w:rPr>
                <w:rFonts w:ascii="Times New Roman" w:hAnsi="Times New Roman"/>
                <w:sz w:val="22"/>
              </w:rPr>
              <w:t>iii)</w:t>
              <w:tab/>
              <w:t>to approve any material amendment of the Partnership Agreement of Net Works.</w:t>
            </w:r>
          </w:p>
        </w:tc>
      </w:tr>
      <w:tr>
        <w:trPr/>
        <w:tc>
          <w:tcPr>
            <w:tcW w:w="3268" w:type="dxa"/>
            <w:tcBorders/>
          </w:tcPr>
          <w:p>
            <w:pPr>
              <w:pStyle w:val="Normal"/>
              <w:tabs>
                <w:tab w:val="clear" w:pos="720"/>
              </w:tabs>
              <w:bidi w:val="0"/>
              <w:spacing w:before="120" w:after="60"/>
              <w:jc w:val="both"/>
              <w:rPr/>
            </w:pPr>
            <w:r>
              <w:rPr>
                <w:rFonts w:ascii="Times New Roman" w:hAnsi="Times New Roman"/>
                <w:b/>
                <w:sz w:val="22"/>
              </w:rPr>
              <w:t>Distributions:</w:t>
            </w:r>
          </w:p>
        </w:tc>
        <w:tc>
          <w:tcPr>
            <w:tcW w:w="5370" w:type="dxa"/>
            <w:tcBorders/>
          </w:tcPr>
          <w:p>
            <w:pPr>
              <w:pStyle w:val="JustifiedBody"/>
              <w:tabs>
                <w:tab w:val="clear" w:pos="720"/>
              </w:tabs>
              <w:bidi w:val="0"/>
              <w:spacing w:before="120" w:after="0"/>
              <w:rPr>
                <w:rFonts w:ascii="Times New Roman" w:hAnsi="Times New Roman"/>
              </w:rPr>
            </w:pPr>
            <w:r>
              <w:rPr>
                <w:rFonts w:ascii="Times New Roman" w:hAnsi="Times New Roman"/>
              </w:rPr>
              <w:t xml:space="preserve">No distributions shall be made to the General Partner until the Limited Partners have received (i) a return of their funded capital commitments and (ii) the Initial Return.    The Limited Partners shall have received the Initial Return at that point at which the Limited Partners have received distributions equal to the capital contributions of the Limited Partners plus an annualized rate of return of 10%.    </w:t>
            </w:r>
          </w:p>
          <w:p>
            <w:pPr>
              <w:pStyle w:val="JustifiedBody"/>
              <w:tabs>
                <w:tab w:val="clear" w:pos="720"/>
              </w:tabs>
              <w:bidi w:val="0"/>
              <w:spacing w:before="120" w:after="0"/>
              <w:rPr>
                <w:rFonts w:ascii="Times New Roman" w:hAnsi="Times New Roman"/>
              </w:rPr>
            </w:pPr>
            <w:r>
              <w:rPr>
                <w:rFonts w:ascii="Times New Roman" w:hAnsi="Times New Roman"/>
              </w:rPr>
              <w:t xml:space="preserve">Subsequent to the receipt by the Limited Partners of the Initial Return, all distributions shall be made to the Limited Partners and the General Partner on a sharing ratio of 80% and 20%, respectively, until the Limited Partners shall have received the Second Return.    The Limited Partners shall have received the Second Return at that point at which the Limited Partners have received distributions (including distributions received as part of the Initial Return) equal to the capital contributions of the Limited Partners plus an annualized rate of return of </w:t>
            </w:r>
            <w:r>
              <w:rPr>
                <w:rFonts w:ascii="Times New Roman" w:hAnsi="Times New Roman"/>
                <w:strike/>
              </w:rPr>
              <w:t>{20%}</w:t>
            </w:r>
            <w:r>
              <w:rPr>
                <w:rFonts w:ascii="Times New Roman" w:hAnsi="Times New Roman"/>
              </w:rPr>
              <w:t xml:space="preserve"> </w:t>
            </w:r>
            <w:r>
              <w:rPr>
                <w:rFonts w:ascii="Times New Roman" w:hAnsi="Times New Roman"/>
                <w:u w:val="single"/>
              </w:rPr>
              <w:t>[30%]</w:t>
            </w:r>
            <w:r>
              <w:rPr>
                <w:rFonts w:ascii="Times New Roman" w:hAnsi="Times New Roman"/>
              </w:rPr>
              <w:t>.</w:t>
            </w:r>
          </w:p>
          <w:p>
            <w:pPr>
              <w:pStyle w:val="JustifiedBody"/>
              <w:tabs>
                <w:tab w:val="clear" w:pos="720"/>
              </w:tabs>
              <w:bidi w:val="0"/>
              <w:spacing w:before="120" w:after="0"/>
              <w:rPr>
                <w:rFonts w:ascii="Times New Roman" w:hAnsi="Times New Roman"/>
              </w:rPr>
            </w:pPr>
            <w:r>
              <w:rPr>
                <w:rFonts w:ascii="Times New Roman" w:hAnsi="Times New Roman"/>
              </w:rPr>
              <w:t xml:space="preserve">Subsequent to the receipt by the Limited Partners of the Second Return, all distributions shall be made to the Limited Partners and the General Partner on a sharing ratio of 50% and 50%, respectively, until the Limited Partners shall have received the Third Return.    The Limited Partners shall have received the Third Return at that point at which the Limited Partners have received distributions (including distributions received as part of the Initial Return and Second Return) equal to the capital contributions of the Limited Partners plus an annualized rate of return of </w:t>
            </w:r>
            <w:r>
              <w:rPr>
                <w:rFonts w:ascii="Times New Roman" w:hAnsi="Times New Roman"/>
                <w:strike/>
              </w:rPr>
              <w:t>{30%}</w:t>
            </w:r>
            <w:r>
              <w:rPr>
                <w:rFonts w:ascii="Times New Roman" w:hAnsi="Times New Roman"/>
              </w:rPr>
              <w:t xml:space="preserve"> </w:t>
            </w:r>
            <w:r>
              <w:rPr>
                <w:rFonts w:ascii="Times New Roman" w:hAnsi="Times New Roman"/>
                <w:u w:val="single"/>
              </w:rPr>
              <w:t>[40%]</w:t>
            </w:r>
            <w:r>
              <w:rPr>
                <w:rFonts w:ascii="Times New Roman" w:hAnsi="Times New Roman"/>
              </w:rPr>
              <w:t xml:space="preserve">. </w:t>
            </w:r>
          </w:p>
          <w:p>
            <w:pPr>
              <w:pStyle w:val="JustifiedBody"/>
              <w:tabs>
                <w:tab w:val="clear" w:pos="720"/>
              </w:tabs>
              <w:bidi w:val="0"/>
              <w:spacing w:before="120" w:after="0"/>
              <w:rPr>
                <w:rFonts w:ascii="Times New Roman" w:hAnsi="Times New Roman"/>
              </w:rPr>
            </w:pPr>
            <w:r>
              <w:rPr>
                <w:rFonts w:ascii="Times New Roman" w:hAnsi="Times New Roman"/>
              </w:rPr>
              <w:t xml:space="preserve">Subsequent to the receipt by the Limited Partners of the Third Return, all distributions shall be made to the Limited Partners and the General Partner on a sharing ratio of </w:t>
            </w:r>
            <w:r>
              <w:rPr>
                <w:rFonts w:ascii="Times New Roman" w:hAnsi="Times New Roman"/>
                <w:strike/>
              </w:rPr>
              <w:t>{5%}</w:t>
            </w:r>
            <w:r>
              <w:rPr>
                <w:rFonts w:ascii="Times New Roman" w:hAnsi="Times New Roman"/>
              </w:rPr>
              <w:t xml:space="preserve"> </w:t>
            </w:r>
            <w:r>
              <w:rPr>
                <w:rFonts w:ascii="Times New Roman" w:hAnsi="Times New Roman"/>
                <w:u w:val="single"/>
              </w:rPr>
              <w:t>[30%]</w:t>
            </w:r>
            <w:r>
              <w:rPr>
                <w:rFonts w:ascii="Times New Roman" w:hAnsi="Times New Roman"/>
              </w:rPr>
              <w:t xml:space="preserve"> and </w:t>
            </w:r>
            <w:r>
              <w:rPr>
                <w:rFonts w:ascii="Times New Roman" w:hAnsi="Times New Roman"/>
                <w:strike/>
              </w:rPr>
              <w:t>{95%}</w:t>
            </w:r>
            <w:r>
              <w:rPr>
                <w:rFonts w:ascii="Times New Roman" w:hAnsi="Times New Roman"/>
              </w:rPr>
              <w:t xml:space="preserve"> </w:t>
            </w:r>
            <w:r>
              <w:rPr>
                <w:rFonts w:ascii="Times New Roman" w:hAnsi="Times New Roman"/>
                <w:u w:val="single"/>
              </w:rPr>
              <w:t>[70%]</w:t>
            </w:r>
            <w:r>
              <w:rPr>
                <w:rFonts w:ascii="Times New Roman" w:hAnsi="Times New Roman"/>
              </w:rPr>
              <w:t>, respectively.</w:t>
            </w:r>
          </w:p>
          <w:p>
            <w:pPr>
              <w:pStyle w:val="JustifiedBody"/>
              <w:tabs>
                <w:tab w:val="clear" w:pos="720"/>
              </w:tabs>
              <w:bidi w:val="0"/>
              <w:spacing w:before="120" w:after="0"/>
              <w:rPr>
                <w:rFonts w:ascii="Times New Roman" w:hAnsi="Times New Roman"/>
              </w:rPr>
            </w:pPr>
            <w:r>
              <w:rPr>
                <w:rFonts w:ascii="Times New Roman" w:hAnsi="Times New Roman"/>
              </w:rPr>
              <w:t>Distributions to the Limited Partners shall be paid out in accordance with sharing ratios of the Limited Partners.    A Limited Partner's sharing ratio shall be the ratio, expressed as a percentage, of the aggregate capital contributions of such Limited Partner to the aggregate capital contributions of all Limited Partners.</w:t>
            </w:r>
          </w:p>
          <w:p>
            <w:pPr>
              <w:pStyle w:val="JustifiedBody"/>
              <w:tabs>
                <w:tab w:val="clear" w:pos="720"/>
              </w:tabs>
              <w:bidi w:val="0"/>
              <w:spacing w:before="120" w:after="0"/>
              <w:rPr/>
            </w:pPr>
            <w:r>
              <w:rPr>
                <w:rFonts w:ascii="Times New Roman" w:hAnsi="Times New Roman"/>
              </w:rPr>
              <w:t>All items of income, loss, deduction and credit shall be allocated to the Partners in a manner consistent with the distributions to the Partners as provided above.</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Timing of Distributions:</w:t>
            </w:r>
          </w:p>
        </w:tc>
        <w:tc>
          <w:tcPr>
            <w:tcW w:w="5370" w:type="dxa"/>
            <w:tcBorders/>
          </w:tcPr>
          <w:p>
            <w:pPr>
              <w:pStyle w:val="JustifiedBody"/>
              <w:tabs>
                <w:tab w:val="clear" w:pos="720"/>
              </w:tabs>
              <w:bidi w:val="0"/>
              <w:spacing w:before="120" w:after="0"/>
              <w:rPr/>
            </w:pPr>
            <w:r>
              <w:rPr>
                <w:rFonts w:ascii="Times New Roman" w:hAnsi="Times New Roman"/>
              </w:rPr>
              <w:t>Net Works will make distributions periodically as determined by the General Partner when funds (net of any amounts necessary or advisable to pay expenses, to repay any debt obligations, or any reserves that the General Partner in its reasonable judgment deems necessary to meet other obligations of Net Works (including operating expenses)) are available therefor.</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Termination:</w:t>
            </w:r>
          </w:p>
        </w:tc>
        <w:tc>
          <w:tcPr>
            <w:tcW w:w="5370" w:type="dxa"/>
            <w:tcBorders/>
          </w:tcPr>
          <w:p>
            <w:pPr>
              <w:pStyle w:val="JustifiedBody"/>
              <w:tabs>
                <w:tab w:val="clear" w:pos="720"/>
                <w:tab w:val="left" w:pos="432" w:leader="none"/>
              </w:tabs>
              <w:bidi w:val="0"/>
              <w:spacing w:before="120" w:after="120"/>
              <w:rPr>
                <w:rFonts w:ascii="Times New Roman" w:hAnsi="Times New Roman"/>
              </w:rPr>
            </w:pPr>
            <w:r>
              <w:rPr>
                <w:rFonts w:ascii="Times New Roman" w:hAnsi="Times New Roman"/>
              </w:rPr>
              <w:t>Net Works will dissolve with the first to occur of the following:</w:t>
            </w:r>
          </w:p>
          <w:p>
            <w:pPr>
              <w:pStyle w:val="BodyTextIndent3"/>
              <w:tabs>
                <w:tab w:val="clear" w:pos="720"/>
                <w:tab w:val="left" w:pos="432" w:leader="none"/>
              </w:tabs>
              <w:bidi w:val="0"/>
              <w:ind w:hanging="432" w:start="432"/>
              <w:rPr>
                <w:rFonts w:ascii="Times New Roman" w:hAnsi="Times New Roman"/>
              </w:rPr>
            </w:pPr>
            <w:r>
              <w:rPr>
                <w:rFonts w:ascii="Times New Roman" w:hAnsi="Times New Roman"/>
              </w:rPr>
              <w:t>i)</w:t>
              <w:tab/>
              <w:t>consent of the General Partner and a majority in interest of the Limited Partners;</w:t>
            </w:r>
          </w:p>
          <w:p>
            <w:pPr>
              <w:pStyle w:val="BodyTextIndent2"/>
              <w:tabs>
                <w:tab w:val="clear" w:pos="720"/>
                <w:tab w:val="left" w:pos="432" w:leader="none"/>
              </w:tabs>
              <w:bidi w:val="0"/>
              <w:spacing w:before="0" w:after="120"/>
              <w:ind w:hanging="432" w:start="432"/>
              <w:rPr>
                <w:rFonts w:ascii="Times New Roman" w:hAnsi="Times New Roman"/>
              </w:rPr>
            </w:pPr>
            <w:r>
              <w:rPr>
                <w:rFonts w:ascii="Times New Roman" w:hAnsi="Times New Roman"/>
              </w:rPr>
              <w:t>ii)</w:t>
              <w:tab/>
              <w:t>the second anniversary of the expiration of the initial Commitment Period;</w:t>
            </w:r>
          </w:p>
          <w:p>
            <w:pPr>
              <w:pStyle w:val="BodyTextIndent2"/>
              <w:tabs>
                <w:tab w:val="clear" w:pos="720"/>
                <w:tab w:val="left" w:pos="432" w:leader="none"/>
              </w:tabs>
              <w:bidi w:val="0"/>
              <w:spacing w:before="0" w:after="120"/>
              <w:ind w:hanging="432" w:start="432"/>
              <w:rPr>
                <w:rFonts w:ascii="Times New Roman" w:hAnsi="Times New Roman"/>
              </w:rPr>
            </w:pPr>
            <w:r>
              <w:rPr>
                <w:rFonts w:ascii="Times New Roman" w:hAnsi="Times New Roman"/>
              </w:rPr>
              <w:t>iii)</w:t>
              <w:tab/>
              <w:t>the liquidation of all of Net Works assets and distribution of the proceeds thereof;</w:t>
            </w:r>
          </w:p>
          <w:p>
            <w:pPr>
              <w:pStyle w:val="Normal"/>
              <w:tabs>
                <w:tab w:val="clear" w:pos="720"/>
                <w:tab w:val="left" w:pos="432" w:leader="none"/>
              </w:tabs>
              <w:bidi w:val="0"/>
              <w:spacing w:before="0" w:after="120"/>
              <w:ind w:hanging="432" w:start="432"/>
              <w:jc w:val="both"/>
              <w:rPr>
                <w:rFonts w:ascii="Times New Roman" w:hAnsi="Times New Roman"/>
                <w:sz w:val="22"/>
              </w:rPr>
            </w:pPr>
            <w:r>
              <w:rPr>
                <w:rFonts w:ascii="Times New Roman" w:hAnsi="Times New Roman"/>
                <w:sz w:val="22"/>
              </w:rPr>
              <w:t>iv)</w:t>
              <w:tab/>
              <w:t xml:space="preserve">the removal or withdrawal of the General Partner;    </w:t>
            </w:r>
          </w:p>
          <w:p>
            <w:pPr>
              <w:pStyle w:val="JustifiedBody"/>
              <w:tabs>
                <w:tab w:val="clear" w:pos="720"/>
              </w:tabs>
              <w:bidi w:val="0"/>
              <w:spacing w:before="120" w:after="0"/>
              <w:ind w:hanging="432" w:start="432"/>
              <w:rPr>
                <w:rFonts w:ascii="Times New Roman" w:hAnsi="Times New Roman"/>
              </w:rPr>
            </w:pPr>
            <w:r>
              <w:rPr>
                <w:rFonts w:ascii="Times New Roman" w:hAnsi="Times New Roman"/>
              </w:rPr>
              <w:t>v)</w:t>
              <w:tab/>
              <w:t>the bankruptcy, etc. (i.e., the occurrence of an event of the type described in Section 17-402(a)(4) or (5) of the Delaware Revised Uniform Limited Partnership Act) of Net Works or the General Partner; and</w:t>
            </w:r>
          </w:p>
          <w:p>
            <w:pPr>
              <w:pStyle w:val="JustifiedBody"/>
              <w:tabs>
                <w:tab w:val="left" w:pos="432" w:leader="none"/>
                <w:tab w:val="left" w:pos="720" w:leader="none"/>
              </w:tabs>
              <w:bidi w:val="0"/>
              <w:spacing w:before="120" w:after="0"/>
              <w:ind w:hanging="432" w:start="432"/>
              <w:rPr>
                <w:rFonts w:ascii="Times New Roman" w:hAnsi="Times New Roman"/>
              </w:rPr>
            </w:pPr>
            <w:r>
              <w:rPr>
                <w:rFonts w:ascii="Times New Roman" w:hAnsi="Times New Roman"/>
              </w:rPr>
              <w:t>vi)</w:t>
              <w:tab/>
              <w:t xml:space="preserve">by the vote of a required interest of the Partners, upon the occurrence of certain events specified in the Partnership Agreement, including a Removal Event (as defined below) or a material adverse change in the financial condition of Net Works.    </w:t>
            </w:r>
          </w:p>
          <w:p>
            <w:pPr>
              <w:pStyle w:val="JustifiedBody"/>
              <w:tabs>
                <w:tab w:val="clear" w:pos="720"/>
              </w:tabs>
              <w:bidi w:val="0"/>
              <w:spacing w:before="120" w:after="0"/>
              <w:rPr/>
            </w:pPr>
            <w:r>
              <w:rPr>
                <w:rFonts w:ascii="Times New Roman" w:hAnsi="Times New Roman"/>
              </w:rPr>
              <w:t>The General Partner will be obligated to notify the Partners of the occurrence of any of the termination events.</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Exit Provisions:</w:t>
            </w:r>
          </w:p>
        </w:tc>
        <w:tc>
          <w:tcPr>
            <w:tcW w:w="5370" w:type="dxa"/>
            <w:tcBorders/>
          </w:tcPr>
          <w:p>
            <w:pPr>
              <w:pStyle w:val="Normal"/>
              <w:tabs>
                <w:tab w:val="clear" w:pos="720"/>
              </w:tabs>
              <w:bidi w:val="0"/>
              <w:spacing w:before="120" w:after="60"/>
              <w:jc w:val="both"/>
              <w:rPr>
                <w:rFonts w:ascii="Times New Roman" w:hAnsi="Times New Roman"/>
                <w:sz w:val="22"/>
              </w:rPr>
            </w:pPr>
            <w:r>
              <w:rPr>
                <w:rFonts w:ascii="Times New Roman" w:hAnsi="Times New Roman"/>
                <w:sz w:val="22"/>
              </w:rPr>
              <w:t xml:space="preserve">The Limited Partners will have the option to liquidate their Partnership interests through (i) a purchase of the Limited Partners’ interests in Net Works by the General Partner pursuant to an agreed valuation method for determining the fair market value of such interests (which purchase may be required by the </w:t>
            </w:r>
            <w:r>
              <w:rPr>
                <w:rFonts w:ascii="Times New Roman" w:hAnsi="Times New Roman"/>
                <w:strike/>
                <w:sz w:val="22"/>
              </w:rPr>
              <w:t>{(a) Limited Partners on the second }</w:t>
            </w:r>
            <w:r>
              <w:rPr>
                <w:rFonts w:ascii="Times New Roman" w:hAnsi="Times New Roman"/>
                <w:sz w:val="22"/>
                <w:u w:val="single"/>
              </w:rPr>
              <w:t>[Limited Partners (the “Put”) or the General Partner (the “Call”) on and after the fifth anniversary of the Initial Closing Date (the "Fair Market Purchase") until the earliest of the exercise or occurrence of the Call, the Put and any of the events specified in (ii), (iii), or (iv)), (ii) through the exercise by the General Partner of either of two European-style calls (one exercisable on the third anniversary of the Initial Closing Date with an exercise price of three times outstanding funded capital; the second exercisable on the fourth]</w:t>
            </w:r>
            <w:r>
              <w:rPr>
                <w:rFonts w:ascii="Times New Roman" w:hAnsi="Times New Roman"/>
                <w:sz w:val="22"/>
              </w:rPr>
              <w:t xml:space="preserve"> anniversary of the expiration of the </w:t>
            </w:r>
            <w:r>
              <w:rPr>
                <w:rFonts w:ascii="Times New Roman" w:hAnsi="Times New Roman"/>
                <w:strike/>
                <w:sz w:val="22"/>
              </w:rPr>
              <w:t>{initial Commitment Period (the “Put”) or (b) the General Partner at the expiration of the initial Commitment Period (the “Call”))(the "Fair Market Purchase"), (ii)}</w:t>
            </w:r>
            <w:r>
              <w:rPr>
                <w:rFonts w:ascii="Times New Roman" w:hAnsi="Times New Roman"/>
                <w:sz w:val="22"/>
              </w:rPr>
              <w:t xml:space="preserve"> </w:t>
            </w:r>
            <w:r>
              <w:rPr>
                <w:rFonts w:ascii="Times New Roman" w:hAnsi="Times New Roman"/>
                <w:sz w:val="22"/>
                <w:u w:val="single"/>
              </w:rPr>
              <w:t>[Initial Closing Date with an exercise price of four times outstanding funded capital), (iii)]</w:t>
            </w:r>
            <w:r>
              <w:rPr>
                <w:rFonts w:ascii="Times New Roman" w:hAnsi="Times New Roman"/>
                <w:sz w:val="22"/>
              </w:rPr>
              <w:t xml:space="preserve"> an initial public offering or sale of the partnership interests </w:t>
            </w:r>
            <w:r>
              <w:rPr>
                <w:rFonts w:ascii="Times New Roman" w:hAnsi="Times New Roman"/>
                <w:sz w:val="22"/>
                <w:u w:val="single"/>
              </w:rPr>
              <w:t>[initiated]</w:t>
            </w:r>
            <w:r>
              <w:rPr>
                <w:rFonts w:ascii="Times New Roman" w:hAnsi="Times New Roman"/>
                <w:sz w:val="22"/>
              </w:rPr>
              <w:t xml:space="preserve"> on or before the second anniversary of the expiration of the initial Commitment Period, and </w:t>
            </w:r>
            <w:r>
              <w:rPr>
                <w:rFonts w:ascii="Times New Roman" w:hAnsi="Times New Roman"/>
                <w:strike/>
                <w:sz w:val="22"/>
              </w:rPr>
              <w:t>{(iii)}</w:t>
            </w:r>
            <w:r>
              <w:rPr>
                <w:rFonts w:ascii="Times New Roman" w:hAnsi="Times New Roman"/>
                <w:sz w:val="22"/>
                <w:u w:val="single"/>
              </w:rPr>
              <w:t>[(iv)]</w:t>
            </w:r>
            <w:r>
              <w:rPr>
                <w:rFonts w:ascii="Times New Roman" w:hAnsi="Times New Roman"/>
                <w:sz w:val="22"/>
              </w:rPr>
              <w:t xml:space="preserve"> a distribution upon the occurrence of a termination or liquidation event as described above.</w:t>
            </w:r>
          </w:p>
          <w:p>
            <w:pPr>
              <w:pStyle w:val="Normal"/>
              <w:tabs>
                <w:tab w:val="clear" w:pos="720"/>
              </w:tabs>
              <w:bidi w:val="0"/>
              <w:spacing w:before="120" w:after="60"/>
              <w:jc w:val="both"/>
              <w:rPr>
                <w:rFonts w:ascii="Times New Roman" w:hAnsi="Times New Roman"/>
                <w:sz w:val="22"/>
                <w:u w:val="single"/>
              </w:rPr>
            </w:pPr>
            <w:r>
              <w:rPr>
                <w:rFonts w:ascii="Times New Roman" w:hAnsi="Times New Roman"/>
                <w:sz w:val="22"/>
                <w:u w:val="single"/>
              </w:rPr>
              <w:t>[If for purposes of the Fair Market Purchase, the Limited Partners and the General Partner are unable to negotiate in good faith a purchase price for the Limited Partners</w:t>
            </w:r>
            <w:r>
              <w:rPr>
                <w:rFonts w:ascii="Times New Roman" w:hAnsi="Times New Roman"/>
                <w:sz w:val="22"/>
              </w:rPr>
              <w:t xml:space="preserve">’ </w:t>
            </w:r>
            <w:r>
              <w:rPr>
                <w:rFonts w:ascii="Times New Roman" w:hAnsi="Times New Roman"/>
                <w:sz w:val="22"/>
                <w:u w:val="single"/>
              </w:rPr>
              <w:t xml:space="preserve">Partnership interests within 60 days, then, upon written notice to the other party, the party desiring to purchase or sell the Partnership interest (the “Electing Party”) may elect to have the purchase price determined by appraisal.      The notice shall specify the appraiser selected by the Electing Party.    The other party shall have 30 days to respond in writing as to the selection of its appraiser. </w:t>
            </w:r>
          </w:p>
          <w:p>
            <w:pPr>
              <w:pStyle w:val="Normal"/>
              <w:tabs>
                <w:tab w:val="clear" w:pos="720"/>
              </w:tabs>
              <w:bidi w:val="0"/>
              <w:spacing w:before="120" w:after="60"/>
              <w:jc w:val="both"/>
              <w:rPr>
                <w:rFonts w:ascii="Times New Roman" w:hAnsi="Times New Roman"/>
                <w:sz w:val="22"/>
                <w:u w:val="single"/>
              </w:rPr>
            </w:pPr>
            <w:r>
              <w:rPr>
                <w:rFonts w:ascii="Times New Roman" w:hAnsi="Times New Roman"/>
                <w:sz w:val="22"/>
                <w:u w:val="single"/>
              </w:rPr>
              <w:t>Within 60 days of notification of the selection of the second appraiser, the two appraisers shall present their valuations of the Partnership interests.    If the valuations are within 10% of each other, the Partnership interest will be valued at the average of the two valuations.    If the valuations are not within 10%, the two appraisers shall select a third appraiser.    Within 60 days of the selection of the third appraiser, the third appraiser shall present its valuation of the Partnership interests.    If the third appraiser</w:t>
            </w:r>
            <w:r>
              <w:rPr>
                <w:rFonts w:ascii="Times New Roman" w:hAnsi="Times New Roman"/>
                <w:sz w:val="22"/>
              </w:rPr>
              <w:t>’</w:t>
            </w:r>
            <w:r>
              <w:rPr>
                <w:rFonts w:ascii="Times New Roman" w:hAnsi="Times New Roman"/>
                <w:sz w:val="22"/>
                <w:u w:val="single"/>
              </w:rPr>
              <w:t>s valuation is within 10% of either of the other two appraisals, the Partnership interests will be valued at the average of (i) the third appraiser</w:t>
            </w:r>
            <w:r>
              <w:rPr>
                <w:rFonts w:ascii="Times New Roman" w:hAnsi="Times New Roman"/>
                <w:sz w:val="22"/>
              </w:rPr>
              <w:t>’</w:t>
            </w:r>
            <w:r>
              <w:rPr>
                <w:rFonts w:ascii="Times New Roman" w:hAnsi="Times New Roman"/>
                <w:sz w:val="22"/>
                <w:u w:val="single"/>
              </w:rPr>
              <w:t>s valuation and (ii) the valuation which is within 10% of the third appraiser</w:t>
            </w:r>
            <w:r>
              <w:rPr>
                <w:rFonts w:ascii="Times New Roman" w:hAnsi="Times New Roman"/>
                <w:sz w:val="22"/>
              </w:rPr>
              <w:t>’</w:t>
            </w:r>
            <w:r>
              <w:rPr>
                <w:rFonts w:ascii="Times New Roman" w:hAnsi="Times New Roman"/>
                <w:sz w:val="22"/>
                <w:u w:val="single"/>
              </w:rPr>
              <w:t>s valuation.    If the third appraiser</w:t>
            </w:r>
            <w:r>
              <w:rPr>
                <w:rFonts w:ascii="Times New Roman" w:hAnsi="Times New Roman"/>
                <w:sz w:val="22"/>
              </w:rPr>
              <w:t>’</w:t>
            </w:r>
            <w:r>
              <w:rPr>
                <w:rFonts w:ascii="Times New Roman" w:hAnsi="Times New Roman"/>
                <w:sz w:val="22"/>
                <w:u w:val="single"/>
              </w:rPr>
              <w:t>s valuation is not within 10% of either of the other two valuations or the third appraiser</w:t>
            </w:r>
            <w:r>
              <w:rPr>
                <w:rFonts w:ascii="Times New Roman" w:hAnsi="Times New Roman"/>
                <w:sz w:val="22"/>
              </w:rPr>
              <w:t>’</w:t>
            </w:r>
            <w:r>
              <w:rPr>
                <w:rFonts w:ascii="Times New Roman" w:hAnsi="Times New Roman"/>
                <w:sz w:val="22"/>
                <w:u w:val="single"/>
              </w:rPr>
              <w:t>s valuation is within 10% of both of the other valuations, the middle valuation will determine the value of the Partnership interests.    The costs of the appraiser selected by a party will be paid by the party making the selection.    The cost of the third appraiser shall be divided equally between the parties; provided, that should the third appraiser</w:t>
            </w:r>
            <w:r>
              <w:rPr>
                <w:rFonts w:ascii="Times New Roman" w:hAnsi="Times New Roman"/>
                <w:sz w:val="22"/>
              </w:rPr>
              <w:t>’</w:t>
            </w:r>
            <w:r>
              <w:rPr>
                <w:rFonts w:ascii="Times New Roman" w:hAnsi="Times New Roman"/>
                <w:sz w:val="22"/>
                <w:u w:val="single"/>
              </w:rPr>
              <w:t>s valuation be within 10% of only one of the two other appraised valuations, the party whose appraisal was not within 10% of the third appraiser</w:t>
            </w:r>
            <w:r>
              <w:rPr>
                <w:rFonts w:ascii="Times New Roman" w:hAnsi="Times New Roman"/>
                <w:sz w:val="22"/>
              </w:rPr>
              <w:t>’</w:t>
            </w:r>
            <w:r>
              <w:rPr>
                <w:rFonts w:ascii="Times New Roman" w:hAnsi="Times New Roman"/>
                <w:sz w:val="22"/>
                <w:u w:val="single"/>
              </w:rPr>
              <w:t xml:space="preserve">s valuation shall bear the cost of all of the appraisals.    </w:t>
            </w:r>
          </w:p>
          <w:p>
            <w:pPr>
              <w:pStyle w:val="Normal"/>
              <w:tabs>
                <w:tab w:val="clear" w:pos="720"/>
              </w:tabs>
              <w:bidi w:val="0"/>
              <w:spacing w:before="120" w:after="60"/>
              <w:jc w:val="both"/>
              <w:rPr/>
            </w:pPr>
            <w:r>
              <w:rPr>
                <w:rFonts w:ascii="Times New Roman" w:hAnsi="Times New Roman"/>
                <w:sz w:val="22"/>
                <w:u w:val="single"/>
              </w:rPr>
              <w:t>An appraiser must be an internationally recognized investment bank or nationally recognized appraiser.]</w:t>
            </w:r>
            <w:r>
              <w:rPr>
                <w:rFonts w:ascii="Times New Roman" w:hAnsi="Times New Roman"/>
                <w:sz w:val="22"/>
              </w:rPr>
              <w:t xml:space="preserve">          </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Withdrawal and Transfer:</w:t>
            </w:r>
          </w:p>
        </w:tc>
        <w:tc>
          <w:tcPr>
            <w:tcW w:w="5370" w:type="dxa"/>
            <w:tcBorders/>
          </w:tcPr>
          <w:p>
            <w:pPr>
              <w:pStyle w:val="JustifiedBody"/>
              <w:tabs>
                <w:tab w:val="clear" w:pos="720"/>
              </w:tabs>
              <w:bidi w:val="0"/>
              <w:spacing w:before="120" w:after="0"/>
              <w:rPr>
                <w:rFonts w:ascii="Times New Roman" w:hAnsi="Times New Roman"/>
              </w:rPr>
            </w:pPr>
            <w:r>
              <w:rPr>
                <w:rFonts w:ascii="Times New Roman" w:hAnsi="Times New Roman"/>
              </w:rPr>
              <w:t>Except as pursuant to the Fair Market Purchase or as part of an initial public offering of the Partnership interests as described above, the Limited Partners, other than Enron, may not sell, assign or transfer their partnership interests (including by merger or operation of law) except with the prior consent of the General Partner (which consent may be withheld in the sole discretion of the General Partner), and each transferee must be a qualified purchaser within the meaning of the Investment Company Act.    Enron may not transfer its partnership interests to non-affiliates of Enron without the consent of the Board of Directors of Net Works, but may transfer all or a portion of such interests to one or more affiliates of Enron without consent.    For purposes of this clause, the definition of "affiliate of Enron" means any person that, directly or indirectly through one or more intermediaries, controls or is under direct or indirect common control with Enron; or in which Enron retains, directly or indirectly, economic exposure to and ownership of no less than 20% of the earnings of such person.    As used herein, the term "control" means possession, directly or indirectly, of the power to direct or cause the direction of the management or policies of a person, whether through the ownership of voting securities, by contract or otherwise.</w:t>
            </w:r>
          </w:p>
          <w:p>
            <w:pPr>
              <w:pStyle w:val="Normal"/>
              <w:tabs>
                <w:tab w:val="clear" w:pos="720"/>
              </w:tabs>
              <w:bidi w:val="0"/>
              <w:spacing w:before="120" w:after="60"/>
              <w:jc w:val="both"/>
              <w:rPr/>
            </w:pPr>
            <w:r>
              <w:rPr>
                <w:rFonts w:ascii="Times New Roman" w:hAnsi="Times New Roman"/>
                <w:sz w:val="22"/>
              </w:rPr>
              <w:t>In addition, except in the case of a sale, transfer or assignment to an affiliate and a required sale as described under “Exit Provisions” above, Partners may not withdraw from Net Works prior to its termination.</w:t>
            </w:r>
          </w:p>
        </w:tc>
      </w:tr>
      <w:tr>
        <w:trPr/>
        <w:tc>
          <w:tcPr>
            <w:tcW w:w="3268" w:type="dxa"/>
            <w:tcBorders/>
          </w:tcPr>
          <w:p>
            <w:pPr>
              <w:pStyle w:val="Normal"/>
              <w:tabs>
                <w:tab w:val="clear" w:pos="720"/>
              </w:tabs>
              <w:bidi w:val="0"/>
              <w:spacing w:before="120" w:after="0"/>
              <w:jc w:val="start"/>
              <w:rPr>
                <w:rFonts w:ascii="Times New Roman" w:hAnsi="Times New Roman"/>
                <w:b/>
                <w:sz w:val="22"/>
              </w:rPr>
            </w:pPr>
            <w:r>
              <w:rPr>
                <w:rFonts w:ascii="Times New Roman" w:hAnsi="Times New Roman"/>
                <w:b/>
                <w:sz w:val="22"/>
              </w:rPr>
              <w:t>Net Works Expenses:</w:t>
            </w:r>
          </w:p>
          <w:p>
            <w:pPr>
              <w:pStyle w:val="Normal"/>
              <w:tabs>
                <w:tab w:val="clear" w:pos="720"/>
              </w:tabs>
              <w:bidi w:val="0"/>
              <w:spacing w:before="120" w:after="0"/>
              <w:jc w:val="start"/>
              <w:rPr>
                <w:rFonts w:ascii="Times New Roman" w:hAnsi="Times New Roman"/>
                <w:b/>
                <w:sz w:val="22"/>
              </w:rPr>
            </w:pPr>
            <w:r>
              <w:rPr>
                <w:rFonts w:ascii="Times New Roman" w:hAnsi="Times New Roman"/>
                <w:b/>
                <w:sz w:val="22"/>
              </w:rPr>
            </w:r>
          </w:p>
          <w:p>
            <w:pPr>
              <w:pStyle w:val="Normal"/>
              <w:tabs>
                <w:tab w:val="clear" w:pos="720"/>
              </w:tabs>
              <w:bidi w:val="0"/>
              <w:spacing w:before="120" w:after="0"/>
              <w:jc w:val="start"/>
              <w:rPr>
                <w:rFonts w:ascii="Times New Roman" w:hAnsi="Times New Roman"/>
                <w:b/>
                <w:sz w:val="16"/>
              </w:rPr>
            </w:pPr>
            <w:r>
              <w:rPr>
                <w:rFonts w:ascii="Times New Roman" w:hAnsi="Times New Roman"/>
                <w:b/>
                <w:sz w:val="16"/>
              </w:rPr>
            </w:r>
          </w:p>
          <w:p>
            <w:pPr>
              <w:pStyle w:val="Normal"/>
              <w:tabs>
                <w:tab w:val="clear" w:pos="720"/>
              </w:tabs>
              <w:bidi w:val="0"/>
              <w:spacing w:before="120" w:after="0"/>
              <w:jc w:val="start"/>
              <w:rPr>
                <w:rFonts w:ascii="Times New Roman" w:hAnsi="Times New Roman"/>
                <w:b/>
                <w:sz w:val="16"/>
              </w:rPr>
            </w:pPr>
            <w:r>
              <w:rPr>
                <w:rFonts w:ascii="Times New Roman" w:hAnsi="Times New Roman"/>
                <w:b/>
                <w:sz w:val="16"/>
              </w:rPr>
            </w:r>
          </w:p>
          <w:p>
            <w:pPr>
              <w:pStyle w:val="Normal"/>
              <w:tabs>
                <w:tab w:val="clear" w:pos="720"/>
              </w:tabs>
              <w:bidi w:val="0"/>
              <w:spacing w:before="120" w:after="0"/>
              <w:jc w:val="start"/>
              <w:rPr/>
            </w:pPr>
            <w:r>
              <w:rPr>
                <w:rFonts w:ascii="Times New Roman" w:hAnsi="Times New Roman"/>
                <w:b/>
                <w:sz w:val="22"/>
              </w:rPr>
              <w:t>Subsequent Closing Dates:</w:t>
            </w:r>
          </w:p>
        </w:tc>
        <w:tc>
          <w:tcPr>
            <w:tcW w:w="5370" w:type="dxa"/>
            <w:tcBorders/>
          </w:tcPr>
          <w:p>
            <w:pPr>
              <w:pStyle w:val="Normal"/>
              <w:tabs>
                <w:tab w:val="clear" w:pos="720"/>
              </w:tabs>
              <w:bidi w:val="0"/>
              <w:spacing w:before="120" w:after="0"/>
              <w:jc w:val="both"/>
              <w:rPr>
                <w:rFonts w:ascii="Times New Roman" w:hAnsi="Times New Roman"/>
                <w:sz w:val="22"/>
              </w:rPr>
            </w:pPr>
            <w:r>
              <w:rPr>
                <w:rFonts w:ascii="Times New Roman" w:hAnsi="Times New Roman"/>
                <w:sz w:val="22"/>
              </w:rPr>
              <w:t xml:space="preserve">Net Works will pay all reasonable out-of-pocket costs and expenses of Net Works and third parties relating to Net Works’ activities.    Enron will be reimbursed by Net Works for Enron’s expenses related to establishment of Net Works. </w:t>
            </w:r>
          </w:p>
          <w:p>
            <w:pPr>
              <w:pStyle w:val="Normal"/>
              <w:tabs>
                <w:tab w:val="clear" w:pos="720"/>
              </w:tabs>
              <w:bidi w:val="0"/>
              <w:spacing w:before="120" w:after="60"/>
              <w:jc w:val="both"/>
              <w:rPr>
                <w:rFonts w:ascii="Times New Roman" w:hAnsi="Times New Roman"/>
                <w:sz w:val="22"/>
              </w:rPr>
            </w:pPr>
            <w:r>
              <w:rPr>
                <w:rFonts w:ascii="Times New Roman" w:hAnsi="Times New Roman"/>
                <w:sz w:val="22"/>
              </w:rPr>
              <w:t xml:space="preserve">Within 270 days of the Initial Closing Date, one or more subsequent closings may occur, at the General Partner’s sole discretion, for the admission of additional Limited Partners.    </w:t>
            </w:r>
          </w:p>
          <w:p>
            <w:pPr>
              <w:pStyle w:val="Normal"/>
              <w:tabs>
                <w:tab w:val="clear" w:pos="720"/>
              </w:tabs>
              <w:bidi w:val="0"/>
              <w:spacing w:before="120" w:after="0"/>
              <w:jc w:val="both"/>
              <w:rPr/>
            </w:pPr>
            <w:r>
              <w:rPr>
                <w:rFonts w:ascii="Times New Roman" w:hAnsi="Times New Roman"/>
                <w:sz w:val="22"/>
              </w:rPr>
              <w:t>At any Closing Date, the Limited Partner being admitted to Net Works will be required to make a capital contribution equal to the sum of (i) the ratio calculated by dividing the capital commitment of the Limited Partner being admitted by the aggregate capital commitments of all Partners including the Limited Partners being admitted times the amount of (a) all legal, organizational and other expenses incurred by or on behalf of Net Works prior to the date of such admission and to the extent paid from capital contributions of the Partners, and (b) the higher of cost or the then fair market value (determined in good faith by the General Partner taking into account any favorable developments since acquisition by Net Works which would justify a higher valuation than cost) of all assets held by Net Works prior to the date of such admission and to the extent paid from capital contributions of the Partners and (ii) its pro rata portion of any additional capital contributions being requested of all Partners by the General Partner at such subsequent Closing Date.    The amounts described in (i) will be distributed as a return of capital to the pre-existing Partners in proportion to their funded capital commitments, and the unfunded capital commitments of the preexisting Partners will be increased by the amount of capital so distributed.    In addition, interest of 8% per annum, from the respective funding dates thereof to the funding date specified for the new Limited Partner, on the amount described in (i) shall be paid by each Limited Partner upon admission to Net Works, and such interest shall be distributed to the preexisting Partners in proportion to their funded capital commitments (without reduction of such pre-existing Partners' capital accounts).</w:t>
            </w:r>
          </w:p>
        </w:tc>
      </w:tr>
    </w:tbl>
    <w:tbl>
      <w:tblPr>
        <w:tblW w:w="8639" w:type="dxa"/>
        <w:jc w:val="start"/>
        <w:tblInd w:w="1" w:type="dxa"/>
        <w:tblLayout w:type="fixed"/>
        <w:tblCellMar>
          <w:top w:w="0" w:type="dxa"/>
          <w:start w:w="98" w:type="dxa"/>
          <w:bottom w:w="0" w:type="dxa"/>
          <w:end w:w="98" w:type="dxa"/>
        </w:tblCellMar>
      </w:tblPr>
      <w:tblGrid>
        <w:gridCol w:w="3268"/>
        <w:gridCol w:w="5370"/>
      </w:tblGrid>
      <w:tr>
        <w:trPr/>
        <w:tc>
          <w:tcPr>
            <w:tcW w:w="3268" w:type="dxa"/>
            <w:tcBorders/>
          </w:tcPr>
          <w:p>
            <w:pPr>
              <w:pStyle w:val="Normal"/>
              <w:tabs>
                <w:tab w:val="clear" w:pos="720"/>
              </w:tabs>
              <w:bidi w:val="0"/>
              <w:spacing w:before="120" w:after="60"/>
              <w:jc w:val="start"/>
              <w:rPr/>
            </w:pPr>
            <w:r>
              <w:rPr>
                <w:rFonts w:ascii="Times New Roman" w:hAnsi="Times New Roman"/>
                <w:b/>
                <w:sz w:val="22"/>
              </w:rPr>
              <w:t>Tax and ERISA Considerations:</w:t>
            </w:r>
          </w:p>
        </w:tc>
        <w:tc>
          <w:tcPr>
            <w:tcW w:w="5370" w:type="dxa"/>
            <w:tcBorders/>
          </w:tcPr>
          <w:p>
            <w:pPr>
              <w:pStyle w:val="JustifiedBody"/>
              <w:tabs>
                <w:tab w:val="clear" w:pos="720"/>
              </w:tabs>
              <w:bidi w:val="0"/>
              <w:spacing w:before="120" w:after="0"/>
              <w:rPr>
                <w:rFonts w:ascii="Times New Roman" w:hAnsi="Times New Roman"/>
              </w:rPr>
            </w:pPr>
            <w:r>
              <w:rPr>
                <w:rFonts w:ascii="Times New Roman" w:hAnsi="Times New Roman"/>
              </w:rPr>
              <w:t>Net Works will likely generate income that will be deemed “unrelated business taxable income” within the meaning of Section 512 of the Code (“UBTI”).    The General Partner will seek to minimize the income tax effects of such UBTI consistent with the investment objectives of Net Works.    Investors should consult their advisors concerning the U.S. federal, state and local and foreign tax consequences of an investment in Net Works.</w:t>
            </w:r>
          </w:p>
          <w:p>
            <w:pPr>
              <w:pStyle w:val="JustifiedBody"/>
              <w:tabs>
                <w:tab w:val="clear" w:pos="720"/>
              </w:tabs>
              <w:bidi w:val="0"/>
              <w:spacing w:before="120" w:after="120"/>
              <w:rPr/>
            </w:pPr>
            <w:r>
              <w:rPr>
                <w:rFonts w:ascii="Times New Roman" w:hAnsi="Times New Roman"/>
              </w:rPr>
              <w:t>Investors subject to ERISA, or investors that constitute plans within the meaning of Section 4975 (e) (1) of the Internal Revenue Code of 1986, as amended (the “Code”) should consult their own advisors as to the effect of the fiduciary responsibility rules of ERISA and/or the prohibited transaction rules under Section 4975 of the Code.    Net Works may require certain representations or assurances from investors subject to ERISA to determine compliance with ERISA provisions, and participation by investors subject to ERISA will be limited to 25% of the total commitments of the Partnership.</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Indemnification:</w:t>
            </w:r>
          </w:p>
        </w:tc>
        <w:tc>
          <w:tcPr>
            <w:tcW w:w="5370" w:type="dxa"/>
            <w:tcBorders/>
          </w:tcPr>
          <w:p>
            <w:pPr>
              <w:pStyle w:val="JustifiedBody"/>
              <w:tabs>
                <w:tab w:val="clear" w:pos="720"/>
              </w:tabs>
              <w:bidi w:val="0"/>
              <w:spacing w:before="120" w:after="60"/>
              <w:rPr/>
            </w:pPr>
            <w:r>
              <w:rPr>
                <w:rFonts w:ascii="Times New Roman" w:hAnsi="Times New Roman"/>
              </w:rPr>
              <w:t xml:space="preserve">Enron, the General Partner, and their respective directors, officers, employees and agents will not be liable to Net Works or the Limited Partners for any act or omission in the absence of willful misconduct or gross negligence.    Net Works will indemnify Enron, the General Partner, and their respective directors, officers, employees and agents for any loss or damage incurred by it acting on behalf of Net Works or in furtherance of the objectives of Net Works or arising out of or in connection with Net Works, except for losses incurred from its own willful misconduct or gross negligence.    </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Legal Counsel:</w:t>
            </w:r>
          </w:p>
        </w:tc>
        <w:tc>
          <w:tcPr>
            <w:tcW w:w="5370" w:type="dxa"/>
            <w:tcBorders/>
          </w:tcPr>
          <w:p>
            <w:pPr>
              <w:pStyle w:val="Normal"/>
              <w:tabs>
                <w:tab w:val="clear" w:pos="720"/>
              </w:tabs>
              <w:bidi w:val="0"/>
              <w:spacing w:before="120" w:after="60"/>
              <w:jc w:val="start"/>
              <w:rPr/>
            </w:pPr>
            <w:r>
              <w:rPr>
                <w:rFonts w:ascii="Times New Roman" w:hAnsi="Times New Roman"/>
                <w:sz w:val="22"/>
              </w:rPr>
              <w:t>Vinson &amp; Elkins L.L.P.</w:t>
            </w:r>
          </w:p>
        </w:tc>
      </w:tr>
      <w:tr>
        <w:trPr/>
        <w:tc>
          <w:tcPr>
            <w:tcW w:w="3268" w:type="dxa"/>
            <w:tcBorders/>
          </w:tcPr>
          <w:p>
            <w:pPr>
              <w:pStyle w:val="Normal"/>
              <w:tabs>
                <w:tab w:val="clear" w:pos="720"/>
              </w:tabs>
              <w:bidi w:val="0"/>
              <w:spacing w:before="120" w:after="60"/>
              <w:jc w:val="start"/>
              <w:rPr/>
            </w:pPr>
            <w:r>
              <w:rPr>
                <w:rFonts w:ascii="Times New Roman" w:hAnsi="Times New Roman"/>
                <w:b/>
                <w:sz w:val="22"/>
              </w:rPr>
              <w:t>Independent Auditor:</w:t>
            </w:r>
          </w:p>
        </w:tc>
        <w:tc>
          <w:tcPr>
            <w:tcW w:w="5370" w:type="dxa"/>
            <w:tcBorders/>
          </w:tcPr>
          <w:p>
            <w:pPr>
              <w:pStyle w:val="Normal"/>
              <w:tabs>
                <w:tab w:val="clear" w:pos="720"/>
              </w:tabs>
              <w:bidi w:val="0"/>
              <w:spacing w:before="120" w:after="60"/>
              <w:jc w:val="start"/>
              <w:rPr/>
            </w:pPr>
            <w:r>
              <w:rPr>
                <w:rFonts w:ascii="Times New Roman" w:hAnsi="Times New Roman"/>
                <w:sz w:val="22"/>
              </w:rPr>
              <w:t>Arthur Andersen L.L.P.</w:t>
            </w:r>
          </w:p>
        </w:tc>
      </w:tr>
    </w:tbl>
    <w:p>
      <w:pPr>
        <w:pStyle w:val="Normal"/>
        <w:bidi w:val="0"/>
        <w:jc w:val="start"/>
        <w:rPr>
          <w:rFonts w:ascii="Times New Roman" w:hAnsi="Times New Roman"/>
          <w:sz w:val="20"/>
        </w:rPr>
      </w:pPr>
      <w:r>
        <w:rPr>
          <w:rFonts w:ascii="Times New Roman" w:hAnsi="Times New Roman"/>
          <w:sz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11</w:t>
    </w:r>
    <w:r>
      <w:rPr>
        <w:rStyle w:val="PageNumber"/>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11</w:t>
    </w:r>
    <w:r>
      <w:rPr>
        <w:rStyle w:val="PageNumber"/>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9/29/00</w:t>
    </w:r>
  </w:p>
  <w:p>
    <w:pPr>
      <w:pStyle w:val="Header"/>
      <w:bidi w:val="0"/>
      <w:jc w:val="end"/>
      <w:rPr>
        <w:rFonts w:ascii="Times New Roman" w:hAnsi="Times New Roman"/>
        <w:b/>
      </w:rPr>
    </w:pPr>
    <w:r>
      <w:rPr>
        <w:rFonts w:ascii="Times New Roman" w:hAnsi="Times New Roman"/>
        <w:b/>
      </w:rPr>
      <w:t>4:30pm</w:t>
    </w:r>
  </w:p>
  <w:p>
    <w:pPr>
      <w:pStyle w:val="Header"/>
      <w:bidi w:val="0"/>
      <w:jc w:val="center"/>
      <w:rPr>
        <w:rFonts w:ascii="Times New Roman" w:hAnsi="Times New Roman"/>
        <w:b/>
        <w:sz w:val="28"/>
      </w:rPr>
    </w:pPr>
    <w:r>
      <w:rPr>
        <w:rFonts w:ascii="Times New Roman" w:hAnsi="Times New Roman"/>
        <w:b/>
        <w:sz w:val="28"/>
      </w:rPr>
      <w:t>ENRON NET WORKS PARTNERS, L.P.</w:t>
    </w:r>
  </w:p>
  <w:p>
    <w:pPr>
      <w:pStyle w:val="Header"/>
      <w:bidi w:val="0"/>
      <w:jc w:val="center"/>
      <w:rPr>
        <w:rFonts w:ascii="Times New Roman" w:hAnsi="Times New Roman"/>
        <w:b/>
        <w:smallCaps/>
        <w:sz w:val="24"/>
      </w:rPr>
    </w:pPr>
    <w:r>
      <w:rPr>
        <w:rFonts w:ascii="Times New Roman" w:hAnsi="Times New Roman"/>
        <w:b/>
        <w:smallCaps/>
        <w:sz w:val="24"/>
      </w:rPr>
      <w:t>Summary of Key Terms and Conditions</w:t>
    </w:r>
  </w:p>
  <w:p>
    <w:pPr>
      <w:pStyle w:val="Header"/>
      <w:bidi w:val="0"/>
      <w:jc w:val="center"/>
      <w:rPr>
        <w:rFonts w:ascii="Times New Roman" w:hAnsi="Times New Roman"/>
        <w:smallCaps/>
        <w:sz w:val="24"/>
      </w:rPr>
    </w:pPr>
    <w:r>
      <w:rPr>
        <w:rFonts w:ascii="Times New Roman" w:hAnsi="Times New Roman"/>
        <w:smallCaps/>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9/29/00</w:t>
    </w:r>
  </w:p>
  <w:p>
    <w:pPr>
      <w:pStyle w:val="Header"/>
      <w:bidi w:val="0"/>
      <w:jc w:val="end"/>
      <w:rPr>
        <w:rFonts w:ascii="Times New Roman" w:hAnsi="Times New Roman"/>
        <w:b/>
      </w:rPr>
    </w:pPr>
    <w:r>
      <w:rPr>
        <w:rFonts w:ascii="Times New Roman" w:hAnsi="Times New Roman"/>
        <w:b/>
      </w:rPr>
      <w:t>4:30pm</w:t>
    </w:r>
  </w:p>
  <w:p>
    <w:pPr>
      <w:pStyle w:val="Header"/>
      <w:bidi w:val="0"/>
      <w:jc w:val="center"/>
      <w:rPr>
        <w:rFonts w:ascii="Times New Roman" w:hAnsi="Times New Roman"/>
        <w:b/>
        <w:sz w:val="28"/>
      </w:rPr>
    </w:pPr>
    <w:r>
      <w:rPr>
        <w:rFonts w:ascii="Times New Roman" w:hAnsi="Times New Roman"/>
        <w:b/>
        <w:sz w:val="28"/>
      </w:rPr>
      <w:t>ENRON NET WORKS PARTNERS, L.P.</w:t>
    </w:r>
  </w:p>
  <w:p>
    <w:pPr>
      <w:pStyle w:val="Header"/>
      <w:bidi w:val="0"/>
      <w:jc w:val="center"/>
      <w:rPr>
        <w:rFonts w:ascii="Times New Roman" w:hAnsi="Times New Roman"/>
        <w:b/>
        <w:smallCaps/>
        <w:sz w:val="24"/>
      </w:rPr>
    </w:pPr>
    <w:r>
      <w:rPr>
        <w:rFonts w:ascii="Times New Roman" w:hAnsi="Times New Roman"/>
        <w:b/>
        <w:smallCaps/>
        <w:sz w:val="24"/>
      </w:rPr>
      <w:t>Summary of Key Terms and Conditions</w:t>
    </w:r>
  </w:p>
  <w:p>
    <w:pPr>
      <w:pStyle w:val="Header"/>
      <w:bidi w:val="0"/>
      <w:jc w:val="center"/>
      <w:rPr>
        <w:rFonts w:ascii="Times New Roman" w:hAnsi="Times New Roman"/>
        <w:smallCaps/>
        <w:sz w:val="24"/>
      </w:rPr>
    </w:pPr>
    <w:r>
      <w:rPr>
        <w:rFonts w:ascii="Times New Roman" w:hAnsi="Times New Roman"/>
        <w:smallCaps/>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Body">
    <w:name w:val="JustifiedBody"/>
    <w:qFormat/>
    <w:pPr>
      <w:widowControl w:val="false"/>
      <w:bidi w:val="0"/>
      <w:spacing w:before="0" w:after="120"/>
      <w:jc w:val="both"/>
    </w:pPr>
    <w:rPr>
      <w:rFonts w:ascii="Liberation Serif" w:hAnsi="Liberation Serif"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0"/>
    </w:rPr>
  </w:style>
  <w:style w:type="paragraph" w:styleId="TableText">
    <w:name w:val="Table Text"/>
    <w:qFormat/>
    <w:pPr>
      <w:widowControl w:val="false"/>
      <w:bidi w:val="0"/>
      <w:spacing w:before="60" w:after="60"/>
      <w:jc w:val="both"/>
    </w:pPr>
    <w:rPr>
      <w:rFonts w:ascii="Liberation Serif" w:hAnsi="Liberation Serif" w:eastAsia="Liberation Sans" w:cs="NotoSans NF"/>
      <w:color w:val="auto"/>
      <w:kern w:val="2"/>
      <w:sz w:val="22"/>
      <w:szCs w:val="24"/>
      <w:lang w:val="en-CA" w:eastAsia="zh-CN" w:bidi="hi-IN"/>
    </w:rPr>
  </w:style>
  <w:style w:type="paragraph" w:styleId="BodyTextIndent2">
    <w:name w:val="Body Text Indent 2"/>
    <w:qFormat/>
    <w:pPr>
      <w:widowControl w:val="false"/>
      <w:bidi w:val="0"/>
      <w:spacing w:before="60" w:after="60"/>
      <w:ind w:hanging="252" w:start="252"/>
      <w:jc w:val="both"/>
    </w:pPr>
    <w:rPr>
      <w:rFonts w:ascii="Liberation Serif" w:hAnsi="Liberation Serif" w:eastAsia="Liberation Sans" w:cs="NotoSans NF"/>
      <w:color w:val="auto"/>
      <w:kern w:val="2"/>
      <w:sz w:val="22"/>
      <w:szCs w:val="24"/>
      <w:lang w:val="en-CA" w:eastAsia="zh-CN" w:bidi="hi-IN"/>
    </w:rPr>
  </w:style>
  <w:style w:type="paragraph" w:styleId="BodyTextIndent3">
    <w:name w:val="Body Text Indent 3"/>
    <w:qFormat/>
    <w:pPr>
      <w:widowControl w:val="false"/>
      <w:bidi w:val="0"/>
      <w:spacing w:before="0" w:after="120"/>
      <w:ind w:hanging="342" w:start="342"/>
      <w:jc w:val="both"/>
    </w:pPr>
    <w:rPr>
      <w:rFonts w:ascii="Liberation Serif" w:hAnsi="Liberation Serif" w:eastAsia="Liberation Sans" w:cs="NotoSans NF"/>
      <w:color w:val="auto"/>
      <w:kern w:val="2"/>
      <w:sz w:val="22"/>
      <w:szCs w:val="24"/>
      <w:lang w:val="en-CA" w:eastAsia="zh-CN" w:bidi="hi-IN"/>
    </w:rPr>
  </w:style>
  <w:style w:type="paragraph" w:styleId="Footer">
    <w:name w:val="footer"/>
    <w:basedOn w:val="HeaderandFooter"/>
    <w:pPr>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3331</Words>
  <CharactersWithSpaces>18990</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2000-09-29T15:55:00Z</dcterms:created>
  <dc:creator>Jodi Marcussen Coulter</dc:creator>
  <dc:description/>
  <dc:language>en-CA</dc:language>
  <cp:lastModifiedBy/>
  <cp:lastPrinted>2000-09-29T11:19:00Z</cp:lastPrinted>
  <dcterms:modified xsi:type="dcterms:W3CDTF">2000-09-29T15:59:00Z</dcterms:modified>
  <cp:revision>3</cp:revision>
  <dc:subject/>
  <dc:title>The following is a summary of certain terms of the Agreement of Limited Partnership of Net Works Partners, 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gbahlma</vt:lpwstr>
  </property>
</Properties>
</file>