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8"/>
        </w:rPr>
      </w:pPr>
      <w:r>
        <w:rPr>
          <w:sz w:val="28"/>
          <w:u w:val="single"/>
        </w:rPr>
        <w:t>TEPI Guaranty</w:t>
      </w:r>
    </w:p>
    <w:p>
      <w:pPr>
        <w:pStyle w:val="Normal"/>
        <w:spacing w:lineRule="exact" w:line="480"/>
        <w:jc w:val="both"/>
        <w:rPr>
          <w:sz w:val="22"/>
        </w:rPr>
      </w:pPr>
      <w:r>
        <w:rPr>
          <w:sz w:val="22"/>
        </w:rPr>
      </w:r>
    </w:p>
    <w:p>
      <w:pPr>
        <w:pStyle w:val="BodyTextIndent"/>
        <w:rPr/>
      </w:pPr>
      <w:r>
        <w:rPr/>
        <w:t>This Guaranty (this “Guaranty”), dated as of March 1, 2000, is made and entered into by Texaco Exploration and Production Inc., a Delaware corporation (“Texaco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Cinergy Marketing &amp; Trading, L.L.C., a Delaware limited liability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w:t>
      </w:r>
      <w:r>
        <w:rPr>
          <w:b/>
          <w:bCs/>
          <w:sz w:val="22"/>
        </w:rPr>
        <w:t>ENRON NORTH AMERICA CORP.</w:t>
      </w:r>
      <w:r>
        <w:rPr>
          <w:sz w:val="22"/>
        </w:rPr>
        <w:t xml:space="preserve"> (“ENA”) is executing a substantially identical guaranty (“ENA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proportions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(i) payments of money expressly required to be made under the Contract (even if such payments are deemed to be damages) and not performance and (ii) Guarantor’s respective portion of the obligation as set forth in subsection (c) below.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The aggregate amount of all amounts covered by this Guaranty and the ENA Guaranty shall not exceed U.S. $15,000,000 ("Combined Obligations").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ENA obligations under its guaranty are several and not joint obligations.</w:t>
      </w:r>
    </w:p>
    <w:p>
      <w:pPr>
        <w:pStyle w:val="BodyTextIndent3"/>
        <w:spacing w:lineRule="exact" w:line="240" w:before="240" w:after="0"/>
        <w:ind w:firstLine="720" w:start="0" w:end="0"/>
        <w:rPr>
          <w:bCs/>
        </w:rPr>
      </w:pPr>
      <w:r>
        <w:rPr>
          <w:bCs/>
        </w:rPr>
        <w:t xml:space="preserve">2.  </w:t>
      </w:r>
      <w:r>
        <w:rPr>
          <w:b/>
          <w:u w:val="single"/>
        </w:rPr>
        <w:t>BRIDGELINE HOLDINGS GUARANTY</w:t>
      </w:r>
      <w:r>
        <w:rPr>
          <w:bCs/>
        </w:rPr>
        <w:t xml:space="preserve">.  This Guaranty is in addition to that certain Guaranty </w:t>
      </w:r>
      <w:r>
        <w:rPr/>
        <w:t>issued to Counterparty by Bridgeline Holdings, L.P. dated ________, _______  (the “Bridgeline Guaranty”).  The aggregate amount covered by this Guaranty, the ENA Guaranty, and the Bridgline Guaranty shall not exceed $30,000,000.  Notwithstanding the foregoing, the</w:t>
      </w:r>
      <w:r>
        <w:rPr>
          <w:bCs/>
        </w:rPr>
        <w:t xml:space="preserve"> Counterparty agrees that the</w:t>
      </w:r>
      <w:r>
        <w:rPr/>
        <w:t xml:space="preserve"> Bridgeline Guaranty is the primary guaranty and this Guaranty and the ENA Guaranty are secondary to the Bridgeline Guaranty.  Counterparty agrees that it shall not be entitled to call upon this Guaranty or the ENA Guaranty until the Bridgeline Guaranty has been called upon up to its limits.</w:t>
      </w:r>
    </w:p>
    <w:p>
      <w:pPr>
        <w:pStyle w:val="Normal"/>
        <w:spacing w:lineRule="atLeast" w:line="240"/>
        <w:jc w:val="both"/>
        <w:rPr>
          <w:bCs/>
          <w:sz w:val="22"/>
        </w:rPr>
      </w:pPr>
      <w:r>
        <w:rPr>
          <w:bCs/>
          <w:sz w:val="22"/>
        </w:rPr>
      </w:r>
    </w:p>
    <w:p>
      <w:pPr>
        <w:pStyle w:val="Normal"/>
        <w:spacing w:lineRule="atLeast" w:line="240"/>
        <w:ind w:firstLine="720" w:end="0"/>
        <w:jc w:val="both"/>
        <w:rPr/>
      </w:pPr>
      <w:r>
        <w:rPr>
          <w:sz w:val="22"/>
        </w:rPr>
        <w:t xml:space="preserve">3.  </w:t>
      </w:r>
      <w:r>
        <w:rPr>
          <w:b/>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and  ENA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ENA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4.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5.  </w:t>
      </w:r>
      <w:r>
        <w:rPr>
          <w:b/>
          <w:sz w:val="22"/>
          <w:u w:val="single"/>
        </w:rPr>
        <w:t>SETOFFS AND COUNTERCLAIMS</w:t>
      </w:r>
      <w:r>
        <w:rPr>
          <w:sz w:val="22"/>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ENA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and failure to proceed against Guarantors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intended termination to ENA and the Counterparty and upon the effectiveness of such termination, Guarantor shall not have any further liability hereunder, except as provided in the last sentence of this paragraph.  No such termination shall be effective until five (5) business days after receipt by Counterparty and ENA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1908"/>
        <w:gridCol w:w="333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pacing w:lineRule="atLeast" w:line="240"/>
              <w:rPr>
                <w:color w:val="000000"/>
                <w:sz w:val="22"/>
              </w:rPr>
            </w:pPr>
            <w:r>
              <w:rPr>
                <w:color w:val="000000"/>
                <w:sz w:val="22"/>
              </w:rPr>
              <w:t>To</w:t>
            </w:r>
          </w:p>
          <w:p>
            <w:pPr>
              <w:pStyle w:val="Normal"/>
              <w:keepNext w:val="true"/>
              <w:keepLines/>
              <w:spacing w:lineRule="atLeast" w:line="240"/>
              <w:rPr>
                <w:color w:val="000000"/>
                <w:sz w:val="22"/>
              </w:rPr>
            </w:pPr>
            <w:r>
              <w:rPr>
                <w:color w:val="000000"/>
                <w:sz w:val="22"/>
              </w:rPr>
              <w:t xml:space="preserve">     </w:t>
            </w:r>
            <w:r>
              <w:rPr>
                <w:color w:val="000000"/>
                <w:sz w:val="22"/>
              </w:rPr>
              <w:t>ENA:</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____________________ </w:t>
            </w:r>
          </w:p>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_______________</w:t>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____________</w:t>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February ___, 2001,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BodyText"/>
        <w:rPr/>
      </w:pPr>
      <w:r>
        <w:rPr/>
        <w:tab/>
        <w:tab/>
        <w:tab/>
        <w:t>TEXACO EXPLORATION AND PRODUCTION INC.</w:t>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rPr>
      </w:pPr>
      <w:r>
        <w:rPr>
          <w:sz w:val="22"/>
        </w:rPr>
        <w:tab/>
        <w:tab/>
        <w:tab/>
        <w:tab/>
        <w:tab/>
        <w:tab/>
        <w:t>By:</w:t>
      </w:r>
      <w:r>
        <w:rPr>
          <w:sz w:val="22"/>
          <w:u w:val="single"/>
        </w:rPr>
        <w:tab/>
        <w:tab/>
        <w:tab/>
        <w:tab/>
        <w:tab/>
        <w:tab/>
      </w:r>
    </w:p>
    <w:p>
      <w:pPr>
        <w:pStyle w:val="Normal"/>
        <w:keepNext w:val="true"/>
        <w:keepLines/>
        <w:rPr>
          <w:sz w:val="22"/>
        </w:rPr>
      </w:pPr>
      <w:r>
        <w:rPr>
          <w:sz w:val="22"/>
        </w:rPr>
        <w:tab/>
        <w:tab/>
        <w:tab/>
        <w:tab/>
        <w:tab/>
        <w:tab/>
        <w:t>Name:</w:t>
      </w:r>
      <w:r>
        <w:rPr>
          <w:sz w:val="22"/>
          <w:u w:val="single"/>
        </w:rPr>
        <w:tab/>
        <w:tab/>
        <w:tab/>
        <w:tab/>
        <w:tab/>
        <w:tab/>
      </w:r>
    </w:p>
    <w:p>
      <w:pPr>
        <w:pStyle w:val="Normal"/>
        <w:keepNext w:val="true"/>
        <w:keepLines/>
        <w:rPr/>
      </w:pPr>
      <w:r>
        <w:rPr>
          <w:sz w:val="22"/>
        </w:rPr>
        <w:tab/>
        <w:tab/>
        <w:tab/>
        <w:tab/>
        <w:tab/>
        <w:tab/>
        <w:t>Title:</w:t>
      </w:r>
      <w:r>
        <w:rPr>
          <w:sz w:val="22"/>
          <w:u w:val="single"/>
        </w:rPr>
        <w:tab/>
        <w:tab/>
        <w:tab/>
        <w:tab/>
        <w:tab/>
        <w:tab/>
      </w:r>
    </w:p>
    <w:p>
      <w:pPr>
        <w:pStyle w:val="Normal"/>
        <w:keepNext w:val="true"/>
        <w:keepLines/>
        <w:rPr>
          <w:sz w:val="22"/>
          <w:u w:val="single"/>
        </w:rPr>
      </w:pPr>
      <w:r>
        <w:rPr>
          <w:sz w:val="22"/>
          <w:u w:val="single"/>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TEPI Guaranty 2.doc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2001-02-27T14:18:00Z</dcterms:created>
  <dc:creator>tjones</dc:creator>
  <dc:description/>
  <dc:language>en-CA</dc:language>
  <cp:lastModifiedBy>gnemec</cp:lastModifiedBy>
  <cp:lastPrinted>2000-04-11T09:27:00Z</cp:lastPrinted>
  <dcterms:modified xsi:type="dcterms:W3CDTF">2001-03-02T19:32:00Z</dcterms:modified>
  <cp:revision>7</cp:revision>
  <dc:subject/>
  <dc:title>EXHIBIT A</dc:title>
</cp:coreProperties>
</file>