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70" w:leader="none"/>
        </w:tabs>
        <w:ind w:hanging="2880" w:start="2880" w:end="0"/>
        <w:rPr>
          <w:rFonts w:ascii="Arial" w:hAnsi="Arial" w:cs="Arial"/>
        </w:rPr>
      </w:pPr>
      <w:r>
        <w:rPr>
          <w:rFonts w:cs="Arial" w:ascii="Arial" w:hAnsi="Arial"/>
        </w:rPr>
        <w:t>Date:</w:t>
        <w:tab/>
        <w:t>[Date]</w:t>
      </w:r>
    </w:p>
    <w:p>
      <w:pPr>
        <w:pStyle w:val="Normal"/>
        <w:tabs>
          <w:tab w:val="clear" w:pos="720"/>
          <w:tab w:val="left" w:pos="1170" w:leader="none"/>
        </w:tabs>
        <w:ind w:hanging="2880" w:start="2880" w:end="0"/>
        <w:rPr>
          <w:rFonts w:ascii="Arial" w:hAnsi="Arial" w:cs="Arial"/>
        </w:rPr>
      </w:pPr>
      <w:r>
        <w:rPr>
          <w:rFonts w:cs="Arial" w:ascii="Arial" w:hAnsi="Arial"/>
        </w:rPr>
        <w:t>To:</w:t>
        <w:tab/>
        <w:t>[Counterparty]</w:t>
      </w:r>
    </w:p>
    <w:p>
      <w:pPr>
        <w:pStyle w:val="Normal"/>
        <w:tabs>
          <w:tab w:val="clear" w:pos="720"/>
          <w:tab w:val="left" w:pos="1170" w:leader="none"/>
        </w:tabs>
        <w:ind w:hanging="2880" w:start="2880" w:end="0"/>
        <w:rPr>
          <w:rFonts w:ascii="Arial" w:hAnsi="Arial" w:cs="Arial"/>
        </w:rPr>
      </w:pPr>
      <w:r>
        <w:rPr>
          <w:rFonts w:cs="Arial" w:ascii="Arial" w:hAnsi="Arial"/>
        </w:rPr>
        <w:t>Attn:</w:t>
        <w:tab/>
        <w:t>[Contact Name]</w:t>
      </w:r>
    </w:p>
    <w:p>
      <w:pPr>
        <w:pStyle w:val="Normal"/>
        <w:tabs>
          <w:tab w:val="clear" w:pos="720"/>
          <w:tab w:val="left" w:pos="1170" w:leader="none"/>
        </w:tabs>
        <w:ind w:hanging="2880" w:start="2880" w:end="0"/>
        <w:rPr>
          <w:rFonts w:ascii="Arial" w:hAnsi="Arial" w:cs="Arial"/>
        </w:rPr>
      </w:pPr>
      <w:r>
        <w:rPr>
          <w:rFonts w:cs="Arial" w:ascii="Arial" w:hAnsi="Arial"/>
        </w:rPr>
        <w:t>Fax:</w:t>
        <w:tab/>
        <w:t>[Fax number]</w:t>
        <w:tab/>
        <w:tab/>
        <w:t>Phone: [Phone Number]</w:t>
      </w:r>
    </w:p>
    <w:p>
      <w:pPr>
        <w:pStyle w:val="Normal"/>
        <w:tabs>
          <w:tab w:val="clear" w:pos="720"/>
          <w:tab w:val="left" w:pos="1170" w:leader="none"/>
        </w:tabs>
        <w:ind w:hanging="2880" w:start="2880" w:end="0"/>
        <w:rPr/>
      </w:pPr>
      <w:r>
        <w:rPr>
          <w:rFonts w:cs="Arial" w:ascii="Arial" w:hAnsi="Arial"/>
        </w:rPr>
        <w:t>From:</w:t>
        <w:tab/>
      </w:r>
      <w:r>
        <w:rPr>
          <w:rFonts w:cs="Arial" w:ascii="Arial" w:hAnsi="Arial"/>
          <w:b/>
        </w:rPr>
        <w:t>DLJ International Capital</w:t>
      </w:r>
      <w:r>
        <w:rPr>
          <w:rFonts w:cs="Arial" w:ascii="Arial" w:hAnsi="Arial"/>
        </w:rPr>
        <w:t>, acting through</w:t>
      </w:r>
    </w:p>
    <w:p>
      <w:pPr>
        <w:pStyle w:val="Normal"/>
        <w:tabs>
          <w:tab w:val="clear" w:pos="720"/>
          <w:tab w:val="left" w:pos="1170" w:leader="none"/>
        </w:tabs>
        <w:ind w:hanging="2880" w:start="2880" w:end="0"/>
        <w:rPr>
          <w:rFonts w:ascii="Arial" w:hAnsi="Arial" w:cs="Arial"/>
        </w:rPr>
      </w:pPr>
      <w:r>
        <w:rPr>
          <w:rFonts w:cs="Arial" w:ascii="Arial" w:hAnsi="Arial"/>
        </w:rPr>
        <w:tab/>
        <w:t>Donaldson, Lufkin &amp; Jenrette Securities Corporation (“DLJSC”)</w:t>
      </w:r>
    </w:p>
    <w:p>
      <w:pPr>
        <w:pStyle w:val="Normal"/>
        <w:pBdr>
          <w:bottom w:val="single" w:sz="12" w:space="1" w:color="000000"/>
        </w:pBdr>
        <w:tabs>
          <w:tab w:val="clear" w:pos="720"/>
          <w:tab w:val="left" w:pos="1170" w:leader="none"/>
        </w:tabs>
        <w:ind w:hanging="2880" w:start="2880" w:end="0"/>
        <w:rPr/>
      </w:pPr>
      <w:r>
        <w:rPr>
          <w:rFonts w:cs="Arial" w:ascii="Arial" w:hAnsi="Arial"/>
        </w:rPr>
        <w:t>Re:</w:t>
        <w:tab/>
        <w:t>Total Return Swap Transaction [</w:t>
      </w:r>
      <w:r>
        <w:rPr>
          <w:rFonts w:cs="Arial" w:ascii="Arial" w:hAnsi="Arial"/>
          <w:u w:val="single"/>
        </w:rPr>
        <w:t>Ref. Number</w:t>
      </w:r>
      <w:r>
        <w:rPr>
          <w:rFonts w:cs="Arial" w:ascii="Arial" w:hAnsi="Arial"/>
        </w:rPr>
        <w:t>]</w:t>
      </w:r>
    </w:p>
    <w:p>
      <w:pPr>
        <w:pStyle w:val="Normal"/>
        <w:rPr>
          <w:rFonts w:ascii="Arial" w:hAnsi="Arial" w:cs="Arial"/>
        </w:rPr>
      </w:pPr>
      <w:r>
        <w:rPr>
          <w:rFonts w:cs="Arial" w:ascii="Arial" w:hAnsi="Arial"/>
        </w:rPr>
      </w:r>
    </w:p>
    <w:p>
      <w:pPr>
        <w:pStyle w:val="BodyText"/>
        <w:ind w:firstLine="360" w:end="0"/>
        <w:rPr>
          <w:rFonts w:ascii="Arial" w:hAnsi="Arial" w:cs="Arial"/>
        </w:rPr>
      </w:pPr>
      <w:r>
        <w:rPr>
          <w:rFonts w:cs="Arial" w:ascii="Arial" w:hAnsi="Arial"/>
        </w:rPr>
        <w:t>The purpose of this document (this “Confirmation”) is to confirm the terms and conditions of the Transaction entered into between us on the Trade Date specified below (the “Transaction”).</w:t>
      </w:r>
    </w:p>
    <w:p>
      <w:pPr>
        <w:pStyle w:val="Normal"/>
        <w:ind w:firstLine="360" w:end="0"/>
        <w:jc w:val="both"/>
        <w:rPr>
          <w:rFonts w:ascii="Arial" w:hAnsi="Arial" w:cs="Arial"/>
        </w:rPr>
      </w:pPr>
      <w:r>
        <w:rPr>
          <w:rFonts w:cs="Arial" w:ascii="Arial" w:hAnsi="Arial"/>
        </w:rPr>
      </w:r>
    </w:p>
    <w:p>
      <w:pPr>
        <w:pStyle w:val="BodyText"/>
        <w:ind w:firstLine="360" w:end="0"/>
        <w:rPr>
          <w:rFonts w:ascii="Arial" w:hAnsi="Arial" w:cs="Arial"/>
        </w:rPr>
      </w:pPr>
      <w:r>
        <w:rPr>
          <w:rFonts w:cs="Arial" w:ascii="Arial" w:hAnsi="Arial"/>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BodyText"/>
        <w:ind w:firstLine="360" w:end="0"/>
        <w:rPr>
          <w:rFonts w:ascii="Arial" w:hAnsi="Arial" w:cs="Arial"/>
        </w:rPr>
      </w:pPr>
      <w:r>
        <w:rPr>
          <w:rFonts w:cs="Arial" w:ascii="Arial" w:hAnsi="Arial"/>
        </w:rPr>
      </w:r>
    </w:p>
    <w:p>
      <w:pPr>
        <w:pStyle w:val="BodyText"/>
        <w:ind w:firstLine="360" w:end="0"/>
        <w:rPr/>
      </w:pPr>
      <w:r>
        <w:rPr>
          <w:rFonts w:cs="Arial" w:ascii="Arial" w:hAnsi="Arial"/>
        </w:rPr>
        <w:t>1.</w:t>
        <w:tab/>
        <w:t xml:space="preserve">This Confirmation constitutes a “Confirmation” as referred to in, and supplements, forms a part of and is subject to, the ISDA Master Agreement dated as of [   date   ], as amended and supplemented from time to time (the “Agreement”), between </w:t>
      </w:r>
      <w:r>
        <w:rPr>
          <w:rFonts w:cs="Arial" w:ascii="Arial" w:hAnsi="Arial"/>
          <w:b/>
          <w:caps/>
        </w:rPr>
        <w:t>DLJ International Capital</w:t>
      </w:r>
      <w:r>
        <w:rPr>
          <w:rFonts w:cs="Arial" w:ascii="Arial" w:hAnsi="Arial"/>
        </w:rPr>
        <w:t xml:space="preserve">, acting through Donaldson, Lufkin &amp; Jenrette Securities Corporation and </w:t>
      </w:r>
      <w:r>
        <w:rPr>
          <w:rFonts w:cs="Arial" w:ascii="Arial" w:hAnsi="Arial"/>
          <w:b/>
          <w:caps/>
        </w:rPr>
        <w:t>[Counterparty]</w:t>
      </w:r>
      <w:r>
        <w:rPr>
          <w:rFonts w:cs="Arial" w:ascii="Arial" w:hAnsi="Arial"/>
        </w:rPr>
        <w:t>.  All provisions contained in the Agreement govern this Confirmation except as expressly modified below.</w:t>
      </w:r>
    </w:p>
    <w:p>
      <w:pPr>
        <w:pStyle w:val="BodyText"/>
        <w:ind w:firstLine="360" w:end="0"/>
        <w:rPr>
          <w:rFonts w:ascii="Arial" w:hAnsi="Arial" w:cs="Arial"/>
        </w:rPr>
      </w:pPr>
      <w:r>
        <w:rPr>
          <w:rFonts w:cs="Arial" w:ascii="Arial" w:hAnsi="Arial"/>
        </w:rPr>
      </w:r>
    </w:p>
    <w:p>
      <w:pPr>
        <w:pStyle w:val="BodyText"/>
        <w:ind w:end="0"/>
        <w:jc w:val="center"/>
        <w:rPr>
          <w:rFonts w:ascii="Arial" w:hAnsi="Arial" w:cs="Arial"/>
          <w:b/>
          <w:u w:val="single"/>
        </w:rPr>
      </w:pPr>
      <w:r>
        <w:rPr>
          <w:rFonts w:cs="Arial" w:ascii="Arial" w:hAnsi="Arial"/>
          <w:b/>
          <w:u w:val="single"/>
        </w:rPr>
        <w:t>OR</w:t>
      </w:r>
    </w:p>
    <w:p>
      <w:pPr>
        <w:pStyle w:val="BodyText"/>
        <w:ind w:firstLine="360" w:end="0"/>
        <w:rPr>
          <w:rFonts w:ascii="Arial" w:hAnsi="Arial" w:cs="Arial"/>
          <w:b/>
          <w:u w:val="single"/>
        </w:rPr>
      </w:pPr>
      <w:r>
        <w:rPr>
          <w:rFonts w:cs="Arial" w:ascii="Arial" w:hAnsi="Arial"/>
          <w:b/>
          <w:u w:val="single"/>
        </w:rPr>
      </w:r>
    </w:p>
    <w:p>
      <w:pPr>
        <w:pStyle w:val="BodyText"/>
        <w:ind w:firstLine="360" w:end="0"/>
        <w:rPr>
          <w:rFonts w:ascii="Arial" w:hAnsi="Arial" w:cs="Arial"/>
        </w:rPr>
      </w:pPr>
      <w:r>
        <w:rPr>
          <w:rFonts w:cs="Arial" w:ascii="Arial" w:hAnsi="Arial"/>
        </w:rPr>
        <w:t>1.</w:t>
        <w:tab/>
        <w:t>This Confirmation evidences a complete binding agreement between Party A and Party B as to the terms of the Transaction to which this confirmation relates. In addition, Party A and Party B agree to use all reasonable efforts promptly to negotiate, execute and deliver an agreement in the form of the 1992 ISDA Master Agreement (Multicurrency-Cross Border) (the “ISDA Form”), with such modifications as you and we will in good faith agree. Upon the execution by Party A and Party B of such an agreement, this Confirmation will supplement, form part of and be subject to that agreement (the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a part of, and be subject to an agreement in the form of the ISDA Form as if we had executed an agreement in such form (but without any Schedule except for the election of the laws of the State of New York (without reference to the choice of law doctrine) as the governing law and U.S. Dollars as the Termination Currency) on the Trade Date of the first such Transaction between us, and had entered into an ISDA Credit Support Annex (Bilateral Form – ISDA Agreements Subject to New York Law Only) with paragraph 13 elections and variables as specified by the parties herein (the “Credit Support Annex” or “CSA”) as set out in section 3 below.  In the event of any inconsistency between the provisions of that agreement and this Confirmation, this Confirmation will prevail for the purpose of this Transaction.</w:t>
      </w:r>
    </w:p>
    <w:p>
      <w:pPr>
        <w:pStyle w:val="Normal"/>
        <w:ind w:firstLine="360" w:end="0"/>
        <w:jc w:val="both"/>
        <w:rPr>
          <w:rFonts w:ascii="Arial" w:hAnsi="Arial" w:cs="Arial"/>
        </w:rPr>
      </w:pPr>
      <w:r>
        <w:rPr>
          <w:rFonts w:cs="Arial" w:ascii="Arial" w:hAnsi="Arial"/>
        </w:rPr>
      </w:r>
    </w:p>
    <w:p>
      <w:pPr>
        <w:pStyle w:val="BodyText2"/>
        <w:ind w:firstLine="360" w:start="0" w:end="0"/>
        <w:rPr>
          <w:rFonts w:ascii="Arial" w:hAnsi="Arial" w:cs="Arial"/>
        </w:rPr>
      </w:pPr>
      <w:r>
        <w:rPr>
          <w:rFonts w:cs="Arial" w:ascii="Arial" w:hAnsi="Arial"/>
        </w:rPr>
        <w:t>Each party will make each payment specified in this Confirmation as being payable by it, not later than the due date for value on that date in the place of the accounts specified below, in freely transferable funds and in the manner customary for payments in the required currency.  If on any date amounts would otherwise be payable in the same currency 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BodyText2"/>
        <w:tabs>
          <w:tab w:val="clear" w:pos="720"/>
          <w:tab w:val="left" w:pos="360" w:leader="none"/>
          <w:tab w:val="left" w:pos="3420" w:leader="none"/>
        </w:tabs>
        <w:ind w:firstLine="360" w:start="0" w:end="0"/>
        <w:rPr>
          <w:rFonts w:ascii="Arial" w:hAnsi="Arial" w:cs="Arial"/>
        </w:rPr>
      </w:pPr>
      <w:r>
        <w:rPr>
          <w:rFonts w:cs="Arial" w:ascii="Arial" w:hAnsi="Arial"/>
        </w:rPr>
      </w:r>
    </w:p>
    <w:p>
      <w:pPr>
        <w:pStyle w:val="Normal"/>
        <w:tabs>
          <w:tab w:val="clear" w:pos="720"/>
          <w:tab w:val="left" w:pos="360" w:leader="none"/>
        </w:tabs>
        <w:ind w:firstLine="360" w:end="0"/>
        <w:rPr>
          <w:rFonts w:ascii="Arial" w:hAnsi="Arial" w:cs="Arial"/>
        </w:rPr>
      </w:pPr>
      <w:r>
        <w:rPr>
          <w:rFonts w:cs="Arial" w:ascii="Arial" w:hAnsi="Arial"/>
        </w:rPr>
        <w:t>2.</w:t>
        <w:tab/>
        <w:t>The terms of the Transaction to which this Confirmation relates are as follows:</w:t>
      </w:r>
    </w:p>
    <w:p>
      <w:pPr>
        <w:pStyle w:val="Header"/>
        <w:tabs>
          <w:tab w:val="clear" w:pos="4320"/>
          <w:tab w:val="clear" w:pos="8640"/>
        </w:tabs>
        <w:rPr>
          <w:rFonts w:ascii="Arial" w:hAnsi="Arial" w:cs="Arial"/>
          <w:sz w:val="20"/>
        </w:rPr>
      </w:pPr>
      <w:r>
        <w:rPr>
          <w:rFonts w:cs="Arial" w:ascii="Arial" w:hAnsi="Arial"/>
          <w:sz w:val="20"/>
        </w:rPr>
      </w:r>
    </w:p>
    <w:p>
      <w:pPr>
        <w:pStyle w:val="Normal"/>
        <w:tabs>
          <w:tab w:val="clear" w:pos="720"/>
          <w:tab w:val="left" w:pos="3240" w:leader="none"/>
          <w:tab w:val="left" w:pos="9576" w:leader="none"/>
        </w:tabs>
        <w:ind w:hanging="3240" w:start="3240" w:end="0"/>
        <w:rPr/>
      </w:pPr>
      <w:r>
        <w:rPr>
          <w:rFonts w:cs="Arial" w:ascii="Arial" w:hAnsi="Arial"/>
        </w:rPr>
        <w:t>Party A:</w:t>
        <w:tab/>
      </w:r>
      <w:r>
        <w:rPr>
          <w:rFonts w:cs="Arial" w:ascii="Arial" w:hAnsi="Arial"/>
          <w:b/>
          <w:caps/>
        </w:rPr>
        <w:t>DLJ INTERNATIONAL CAPITAL</w:t>
      </w:r>
      <w:r>
        <w:rPr>
          <w:rFonts w:cs="Arial" w:ascii="Arial" w:hAnsi="Arial"/>
        </w:rPr>
        <w:t xml:space="preserve"> ("Payer of Total Return")</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Normal"/>
        <w:tabs>
          <w:tab w:val="clear" w:pos="720"/>
          <w:tab w:val="left" w:pos="3240" w:leader="none"/>
          <w:tab w:val="left" w:pos="9576" w:leader="none"/>
        </w:tabs>
        <w:ind w:hanging="3240" w:start="3240" w:end="0"/>
        <w:rPr/>
      </w:pPr>
      <w:r>
        <w:rPr>
          <w:rFonts w:cs="Arial" w:ascii="Arial" w:hAnsi="Arial"/>
        </w:rPr>
        <w:t>Party B:</w:t>
        <w:tab/>
      </w:r>
      <w:r>
        <w:rPr>
          <w:rFonts w:cs="Arial" w:ascii="Arial" w:hAnsi="Arial"/>
          <w:b/>
        </w:rPr>
        <w:t>[Counterparty]</w:t>
      </w:r>
      <w:r>
        <w:rPr>
          <w:rFonts w:cs="Arial" w:ascii="Arial" w:hAnsi="Arial"/>
        </w:rPr>
        <w:t xml:space="preserve"> ("Receiver of Total Return")</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t>Trade Date:</w:t>
        <w:tab/>
        <w:t>[date]</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t>Effective Date:</w:t>
        <w:tab/>
        <w:t>[date]</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t>Termination Date:</w:t>
        <w:tab/>
        <w:t>The earlier of (i) [date], and (ii) the Early Termination Date</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Heading3"/>
        <w:keepNext w:val="false"/>
        <w:tabs>
          <w:tab w:val="clear" w:pos="720"/>
          <w:tab w:val="left" w:pos="3240" w:leader="none"/>
          <w:tab w:val="left" w:pos="9576" w:leader="none"/>
        </w:tabs>
        <w:spacing w:before="0" w:after="0"/>
        <w:ind w:hanging="3240" w:start="3240" w:end="0"/>
        <w:rPr>
          <w:rFonts w:ascii="Arial" w:hAnsi="Arial" w:cs="Arial"/>
          <w:b w:val="false"/>
          <w:sz w:val="20"/>
        </w:rPr>
      </w:pPr>
      <w:r>
        <w:rPr>
          <w:rFonts w:cs="Arial" w:ascii="Arial" w:hAnsi="Arial"/>
          <w:b w:val="false"/>
          <w:sz w:val="20"/>
        </w:rPr>
        <w:t>Reference Security:</w:t>
        <w:tab/>
        <w:t>[bond description] (CUSIP/ISIN #              )</w:t>
      </w:r>
    </w:p>
    <w:p>
      <w:pPr>
        <w:pStyle w:val="Normal"/>
        <w:tabs>
          <w:tab w:val="clear" w:pos="720"/>
          <w:tab w:val="left" w:pos="3240" w:leader="none"/>
        </w:tabs>
        <w:ind w:hanging="3240" w:start="3240" w:end="0"/>
        <w:rPr>
          <w:rFonts w:ascii="Arial" w:hAnsi="Arial" w:cs="Arial"/>
          <w:b/>
          <w:sz w:val="20"/>
        </w:rPr>
      </w:pPr>
      <w:r>
        <w:rPr>
          <w:rFonts w:cs="Arial" w:ascii="Arial" w:hAnsi="Arial"/>
          <w:b/>
          <w:sz w:val="20"/>
        </w:rPr>
      </w:r>
    </w:p>
    <w:p>
      <w:pPr>
        <w:pStyle w:val="Normal"/>
        <w:tabs>
          <w:tab w:val="clear" w:pos="720"/>
          <w:tab w:val="left" w:pos="3240" w:leader="none"/>
        </w:tabs>
        <w:ind w:hanging="3240" w:start="3240" w:end="0"/>
        <w:rPr/>
      </w:pPr>
      <w:r>
        <w:rPr>
          <w:rFonts w:cs="Arial" w:ascii="Arial" w:hAnsi="Arial"/>
        </w:rPr>
        <w:t>Issuer:</w:t>
        <w:tab/>
        <w:t>[</w:t>
      </w:r>
      <w:r>
        <w:rPr>
          <w:rFonts w:cs="Arial" w:ascii="Arial" w:hAnsi="Arial"/>
          <w:b/>
        </w:rPr>
        <w:t>Issuer]</w:t>
      </w:r>
    </w:p>
    <w:p>
      <w:pPr>
        <w:pStyle w:val="Normal"/>
        <w:tabs>
          <w:tab w:val="clear" w:pos="720"/>
          <w:tab w:val="left" w:pos="3240" w:leader="none"/>
        </w:tabs>
        <w:ind w:hanging="3240" w:start="3240" w:end="0"/>
        <w:rPr>
          <w:rFonts w:ascii="Arial" w:hAnsi="Arial" w:cs="Arial"/>
          <w:b/>
        </w:rPr>
      </w:pPr>
      <w:r>
        <w:rPr>
          <w:rFonts w:cs="Arial" w:ascii="Arial" w:hAnsi="Arial"/>
          <w:b/>
        </w:rPr>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t>Initial Price:</w:t>
        <w:tab/>
        <w:t>xxx.xxxxx% (xxx.xxxxx% clean price plus x.xxxxxx% accrued but unpaid interest)</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Normal"/>
        <w:tabs>
          <w:tab w:val="clear" w:pos="720"/>
          <w:tab w:val="left" w:pos="0" w:leader="none"/>
          <w:tab w:val="left" w:pos="3240" w:leader="none"/>
          <w:tab w:val="left" w:pos="9576" w:leader="none"/>
        </w:tabs>
        <w:ind w:hanging="3240" w:start="3240" w:end="0"/>
        <w:rPr>
          <w:rFonts w:ascii="Arial" w:hAnsi="Arial" w:cs="Arial"/>
        </w:rPr>
      </w:pPr>
      <w:r>
        <w:rPr>
          <w:rFonts w:cs="Arial" w:ascii="Arial" w:hAnsi="Arial"/>
        </w:rPr>
        <w:t>Notional Amount:</w:t>
        <w:tab/>
        <w:t>USD ___________ (Face Value of the Reference Security)</w:t>
      </w:r>
    </w:p>
    <w:p>
      <w:pPr>
        <w:pStyle w:val="Normal"/>
        <w:tabs>
          <w:tab w:val="clear" w:pos="720"/>
          <w:tab w:val="left" w:pos="0" w:leader="none"/>
          <w:tab w:val="left" w:pos="3240" w:leader="none"/>
          <w:tab w:val="left" w:pos="9576" w:leader="none"/>
        </w:tabs>
        <w:ind w:hanging="3240" w:start="3240" w:end="0"/>
        <w:rPr>
          <w:rFonts w:ascii="Arial" w:hAnsi="Arial" w:cs="Arial"/>
        </w:rPr>
      </w:pPr>
      <w:r>
        <w:rPr>
          <w:rFonts w:cs="Arial" w:ascii="Arial" w:hAnsi="Arial"/>
        </w:rPr>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t>Calculation Agent:</w:t>
        <w:tab/>
        <w:t>DLJSC</w:t>
      </w:r>
    </w:p>
    <w:p>
      <w:pPr>
        <w:pStyle w:val="Normal"/>
        <w:tabs>
          <w:tab w:val="clear" w:pos="720"/>
          <w:tab w:val="left" w:pos="3240" w:leader="none"/>
          <w:tab w:val="left" w:pos="9576" w:leader="none"/>
        </w:tabs>
        <w:ind w:hanging="3240" w:start="3240" w:end="0"/>
        <w:rPr>
          <w:rFonts w:ascii="Arial" w:hAnsi="Arial" w:cs="Arial"/>
        </w:rPr>
      </w:pPr>
      <w:r>
        <w:rPr>
          <w:rFonts w:cs="Arial" w:ascii="Arial" w:hAnsi="Arial"/>
        </w:rPr>
      </w:r>
    </w:p>
    <w:p>
      <w:pPr>
        <w:pStyle w:val="Heading1"/>
        <w:rPr>
          <w:rFonts w:ascii="Arial" w:hAnsi="Arial" w:cs="Arial"/>
        </w:rPr>
      </w:pPr>
      <w:r>
        <w:rPr>
          <w:rFonts w:cs="Arial" w:ascii="Arial" w:hAnsi="Arial"/>
        </w:rPr>
        <w:t>Fixed Amounts:</w:t>
      </w:r>
    </w:p>
    <w:p>
      <w:pPr>
        <w:pStyle w:val="FootnoteText"/>
        <w:tabs>
          <w:tab w:val="clear" w:pos="720"/>
          <w:tab w:val="left" w:pos="3240" w:leader="none"/>
          <w:tab w:val="left" w:pos="9480" w:leader="none"/>
        </w:tabs>
        <w:spacing w:before="0" w:after="0"/>
        <w:ind w:hanging="342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Fixed Rate Payer:</w:t>
        <w:tab/>
        <w:t>Party A</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Fixed Rate Payer</w:t>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Period End Dates:</w:t>
        <w:tab/>
        <w:t>The last Business Day of each calendar month during the Term of this Transaction through and including the Termination Date</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Fixed Rate Payer</w:t>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Payment Dates:</w:t>
        <w:tab/>
        <w:t>Three Business Days following each Fixed Rate Payer Period End Date, provided, however, that the final Fixed Rate Payer Payment Date will be the Termination Date</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Fixed Amount:</w:t>
        <w:tab/>
        <w:t>Any interest payment made by the Issuer with respect to an amount of such Reference Security equal to the Notional Amount received by Party A during such Fixed Rate Payer Calculation Period</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0" w:start="3240" w:end="0"/>
        <w:rPr>
          <w:rFonts w:ascii="Arial" w:hAnsi="Arial" w:cs="Arial"/>
          <w:sz w:val="20"/>
        </w:rPr>
      </w:pPr>
      <w:r>
        <w:rPr>
          <w:rFonts w:cs="Arial" w:ascii="Arial" w:hAnsi="Arial"/>
          <w:sz w:val="20"/>
        </w:rPr>
        <w:t>However, if the principal amount of the Reference Security is reduced according to its terms and results in a payment to the holders of such security, Party A will add such payment to the Fixed Amount paid on the next succeeding Fixed Rate Payer Payment Date and the Calculation Amount will be adjusted by the Calculation Agent, in its sole discretion, to account for such payment.</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Heading1"/>
        <w:rPr>
          <w:rFonts w:ascii="Arial" w:hAnsi="Arial" w:cs="Arial"/>
        </w:rPr>
      </w:pPr>
      <w:r>
        <w:rPr>
          <w:rFonts w:cs="Arial" w:ascii="Arial" w:hAnsi="Arial"/>
        </w:rPr>
        <w:t>Floating Amounts:</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Normal"/>
        <w:tabs>
          <w:tab w:val="clear" w:pos="720"/>
          <w:tab w:val="left" w:pos="3240" w:leader="none"/>
          <w:tab w:val="left" w:pos="9576" w:leader="none"/>
        </w:tabs>
        <w:ind w:hanging="2880" w:start="3240" w:end="0"/>
        <w:rPr>
          <w:rFonts w:ascii="Arial" w:hAnsi="Arial" w:cs="Arial"/>
        </w:rPr>
      </w:pPr>
      <w:r>
        <w:rPr>
          <w:rFonts w:cs="Arial" w:ascii="Arial" w:hAnsi="Arial"/>
        </w:rPr>
        <w:t>Calculation Amount:</w:t>
        <w:tab/>
        <w:t>(i) For the initial Calculation Period USD ___________ and</w:t>
      </w:r>
    </w:p>
    <w:p>
      <w:pPr>
        <w:pStyle w:val="Normal"/>
        <w:tabs>
          <w:tab w:val="clear" w:pos="720"/>
          <w:tab w:val="left" w:pos="3438" w:leader="none"/>
          <w:tab w:val="left" w:pos="9576" w:leader="none"/>
        </w:tabs>
        <w:ind w:start="3240" w:end="0"/>
        <w:rPr>
          <w:rFonts w:ascii="Arial" w:hAnsi="Arial" w:cs="Arial"/>
        </w:rPr>
      </w:pPr>
      <w:r>
        <w:rPr>
          <w:rFonts w:cs="Arial" w:ascii="Arial" w:hAnsi="Arial"/>
        </w:rPr>
      </w:r>
    </w:p>
    <w:p>
      <w:pPr>
        <w:pStyle w:val="Normal"/>
        <w:tabs>
          <w:tab w:val="clear" w:pos="720"/>
          <w:tab w:val="left" w:pos="3240" w:leader="none"/>
          <w:tab w:val="left" w:pos="9576" w:leader="none"/>
        </w:tabs>
        <w:ind w:start="3240" w:end="0"/>
        <w:rPr>
          <w:rFonts w:ascii="Arial" w:hAnsi="Arial" w:cs="Arial"/>
        </w:rPr>
      </w:pPr>
      <w:r>
        <w:rPr>
          <w:rFonts w:cs="Arial" w:ascii="Arial" w:hAnsi="Arial"/>
        </w:rPr>
        <w:t>(ii) For each subsequent Calculation Period, the product of the Notional Amount and the Begin Price for such Calculation Period</w:t>
      </w:r>
    </w:p>
    <w:p>
      <w:pPr>
        <w:pStyle w:val="Normal"/>
        <w:tabs>
          <w:tab w:val="clear" w:pos="720"/>
          <w:tab w:val="left" w:pos="3240" w:leader="none"/>
          <w:tab w:val="left" w:pos="9576" w:leader="none"/>
        </w:tabs>
        <w:ind w:hanging="2880" w:start="3240" w:end="0"/>
        <w:rPr>
          <w:rFonts w:ascii="Arial" w:hAnsi="Arial" w:cs="Arial"/>
        </w:rPr>
      </w:pPr>
      <w:r>
        <w:rPr>
          <w:rFonts w:cs="Arial" w:ascii="Arial" w:hAnsi="Arial"/>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Floating Rate Payer:</w:t>
        <w:tab/>
        <w:t>Party B</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Floating Rate Payer</w:t>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Period End Dates:</w:t>
        <w:tab/>
        <w:t>The last Business Day of each calendar month during the Term of this Transaction through and including the Termination Date</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Floating Rate Payer</w:t>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Payment Dates:</w:t>
        <w:tab/>
        <w:t>Each Fixed Rate Payer Payment Date</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Floating Amount Calculation:</w:t>
        <w:tab/>
        <w:t>For the avoidance of doubt, the Floating Amount shall be calculated on the Calculation Amount in effect at the beginning of the relevant Calculation Period and paid at the end of such period</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Floating Rate for initial</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Calculation Period:</w:t>
        <w:tab/>
        <w:t>x.xxxxxx% (including Spread)</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Floating Rate Option:</w:t>
        <w:tab/>
        <w:t>USD-LIBOR-BBA</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2880" w:start="3240" w:end="0"/>
        <w:rPr/>
      </w:pPr>
      <w:r>
        <w:rPr>
          <w:rFonts w:cs="Arial" w:ascii="Arial" w:hAnsi="Arial"/>
          <w:sz w:val="20"/>
        </w:rPr>
        <w:t>Designated Maturity:</w:t>
        <w:tab/>
        <w:t>One (1) month</w:t>
      </w:r>
      <w:r>
        <w:rPr>
          <w:rFonts w:cs="Arial" w:ascii="Arial" w:hAnsi="Arial"/>
          <w:i/>
          <w:sz w:val="20"/>
        </w:rPr>
        <w:t>; provided, however,</w:t>
      </w:r>
      <w:r>
        <w:rPr>
          <w:rFonts w:cs="Arial" w:ascii="Arial" w:hAnsi="Arial"/>
          <w:sz w:val="20"/>
        </w:rPr>
        <w:t xml:space="preserve"> that the LIBOR rate used for any short or long Calculation Periods will be the relevant linearly interpolated LIBOR rate</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Spread:</w:t>
        <w:tab/>
        <w:t>Plus x.xxxxxx%</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Floating Rate Day</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Count Fraction:</w:t>
        <w:tab/>
        <w:t>Actual/360</w:t>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r>
    </w:p>
    <w:p>
      <w:pPr>
        <w:pStyle w:val="FootnoteText"/>
        <w:tabs>
          <w:tab w:val="clear" w:pos="720"/>
          <w:tab w:val="left" w:pos="3240" w:leader="none"/>
          <w:tab w:val="left" w:pos="9480" w:leader="none"/>
        </w:tabs>
        <w:spacing w:before="0" w:after="0"/>
        <w:ind w:hanging="3060" w:start="3420" w:end="0"/>
        <w:rPr>
          <w:rFonts w:ascii="Arial" w:hAnsi="Arial" w:cs="Arial"/>
          <w:sz w:val="20"/>
        </w:rPr>
      </w:pPr>
      <w:r>
        <w:rPr>
          <w:rFonts w:cs="Arial" w:ascii="Arial" w:hAnsi="Arial"/>
          <w:sz w:val="20"/>
        </w:rPr>
        <w:t>Reset Dates:</w:t>
        <w:tab/>
        <w:t>The first day of each Floating Rate Payer Calculation Period</w:t>
      </w:r>
    </w:p>
    <w:p>
      <w:pPr>
        <w:pStyle w:val="Normal"/>
        <w:tabs>
          <w:tab w:val="clear" w:pos="720"/>
          <w:tab w:val="left" w:pos="3240" w:leader="none"/>
          <w:tab w:val="left" w:pos="3360" w:leader="none"/>
          <w:tab w:val="left" w:pos="9480" w:leader="none"/>
        </w:tabs>
        <w:ind w:hanging="3420" w:start="3420" w:end="0"/>
        <w:rPr>
          <w:rFonts w:ascii="Arial" w:hAnsi="Arial" w:cs="Arial"/>
          <w:sz w:val="20"/>
        </w:rPr>
      </w:pPr>
      <w:r>
        <w:rPr>
          <w:rFonts w:cs="Arial" w:ascii="Arial" w:hAnsi="Arial"/>
          <w:sz w:val="20"/>
        </w:rPr>
      </w:r>
    </w:p>
    <w:p>
      <w:pPr>
        <w:pStyle w:val="Normal"/>
        <w:tabs>
          <w:tab w:val="clear" w:pos="720"/>
          <w:tab w:val="left" w:pos="3240" w:leader="none"/>
          <w:tab w:val="left" w:pos="3360" w:leader="none"/>
          <w:tab w:val="left" w:pos="9480" w:leader="none"/>
        </w:tabs>
        <w:ind w:hanging="3420" w:start="3420" w:end="0"/>
        <w:rPr>
          <w:rFonts w:ascii="Arial" w:hAnsi="Arial" w:cs="Arial"/>
          <w:b/>
        </w:rPr>
      </w:pPr>
      <w:r>
        <w:rPr>
          <w:rFonts w:cs="Arial" w:ascii="Arial" w:hAnsi="Arial"/>
          <w:b/>
          <w:u w:val="single"/>
        </w:rPr>
        <w:t>Total Return Amounts:</w:t>
      </w:r>
    </w:p>
    <w:p>
      <w:pPr>
        <w:pStyle w:val="Normal"/>
        <w:tabs>
          <w:tab w:val="clear" w:pos="720"/>
          <w:tab w:val="left" w:pos="3240" w:leader="none"/>
        </w:tabs>
        <w:ind w:hanging="3420" w:start="3420" w:end="0"/>
        <w:rPr>
          <w:rFonts w:ascii="Arial" w:hAnsi="Arial" w:cs="Arial"/>
          <w:b/>
        </w:rPr>
      </w:pPr>
      <w:r>
        <w:rPr>
          <w:rFonts w:cs="Arial" w:ascii="Arial" w:hAnsi="Arial"/>
          <w:b/>
        </w:rPr>
      </w:r>
    </w:p>
    <w:p>
      <w:pPr>
        <w:pStyle w:val="Normal"/>
        <w:tabs>
          <w:tab w:val="clear" w:pos="720"/>
          <w:tab w:val="left" w:pos="3240" w:leader="none"/>
        </w:tabs>
        <w:ind w:hanging="2880" w:start="3240" w:end="0"/>
        <w:rPr>
          <w:rFonts w:ascii="Arial" w:hAnsi="Arial" w:cs="Arial"/>
        </w:rPr>
      </w:pPr>
      <w:r>
        <w:rPr>
          <w:rFonts w:cs="Arial" w:ascii="Arial" w:hAnsi="Arial"/>
        </w:rPr>
        <w:t>Total Return Payer:</w:t>
        <w:tab/>
        <w:t>(i) If the Total Return Amount determined by the Calculation Agent on a Valuation Date is a positive amount, then Party A will be the Total Return Payer and pay such amount to Party B on the subsequent Total Return Payment Date;</w:t>
        <w:br/>
        <w:br/>
        <w:t>(ii) If the Total Return Amount determined by the Calculation Agent on a Valuation Date is a negative amount, then Party B will be the Total Return Payer and pay the absolute value of such amount to Party A on the subsequent Total Return Payment Date; and</w:t>
        <w:br/>
        <w:br/>
        <w:t>(iii) If the Total Return Amount determined by the Calculation Agent on a Valuation Date is zero, then there will be no Total Return Payer.</w:t>
      </w:r>
    </w:p>
    <w:p>
      <w:pPr>
        <w:pStyle w:val="Normal"/>
        <w:tabs>
          <w:tab w:val="clear" w:pos="720"/>
          <w:tab w:val="left" w:pos="3240" w:leader="none"/>
        </w:tabs>
        <w:ind w:hanging="3060" w:start="3420" w:end="0"/>
        <w:rPr>
          <w:rFonts w:ascii="Arial" w:hAnsi="Arial" w:cs="Arial"/>
        </w:rPr>
      </w:pPr>
      <w:r>
        <w:rPr>
          <w:rFonts w:cs="Arial" w:ascii="Arial" w:hAnsi="Arial"/>
        </w:rPr>
      </w:r>
    </w:p>
    <w:p>
      <w:pPr>
        <w:pStyle w:val="FootnoteText"/>
        <w:tabs>
          <w:tab w:val="clear" w:pos="720"/>
          <w:tab w:val="left" w:pos="3240" w:leader="none"/>
          <w:tab w:val="left" w:pos="9480" w:leader="none"/>
        </w:tabs>
        <w:spacing w:before="0" w:after="0"/>
        <w:ind w:hanging="2880" w:start="3240" w:end="0"/>
        <w:rPr>
          <w:rFonts w:ascii="Arial" w:hAnsi="Arial" w:cs="Arial"/>
          <w:sz w:val="20"/>
        </w:rPr>
      </w:pPr>
      <w:r>
        <w:rPr>
          <w:rFonts w:cs="Arial" w:ascii="Arial" w:hAnsi="Arial"/>
          <w:sz w:val="20"/>
        </w:rPr>
        <w:t>Total Return Payment Dates:</w:t>
        <w:tab/>
        <w:t>Each Fixed Rate Payer Payment Date</w:t>
      </w:r>
    </w:p>
    <w:p>
      <w:pPr>
        <w:pStyle w:val="Normal"/>
        <w:tabs>
          <w:tab w:val="clear" w:pos="720"/>
          <w:tab w:val="left" w:pos="3240" w:leader="none"/>
        </w:tabs>
        <w:ind w:hanging="3060" w:start="3420" w:end="0"/>
        <w:rPr>
          <w:rFonts w:ascii="Arial" w:hAnsi="Arial" w:cs="Arial"/>
          <w:sz w:val="20"/>
        </w:rPr>
      </w:pPr>
      <w:r>
        <w:rPr>
          <w:rFonts w:cs="Arial" w:ascii="Arial" w:hAnsi="Arial"/>
          <w:sz w:val="20"/>
        </w:rPr>
      </w:r>
    </w:p>
    <w:p>
      <w:pPr>
        <w:pStyle w:val="Normal"/>
        <w:tabs>
          <w:tab w:val="clear" w:pos="720"/>
          <w:tab w:val="left" w:pos="3240" w:leader="none"/>
        </w:tabs>
        <w:ind w:hanging="2880" w:start="3240" w:end="0"/>
        <w:rPr>
          <w:rFonts w:ascii="Arial" w:hAnsi="Arial" w:cs="Arial"/>
        </w:rPr>
      </w:pPr>
      <w:r>
        <w:rPr>
          <w:rFonts w:cs="Arial" w:ascii="Arial" w:hAnsi="Arial"/>
        </w:rPr>
        <w:t>Valuation Date:</w:t>
        <w:tab/>
        <w:t>The last Business Day of each calendar month during the Term of this Transaction, provided, however, that the Valuation Date for the last Calculation Period will be three Business Days prior to the Termination Date (the “Final Valuation Date”) and provided, further, that if an Issuer Event or Party B Termination occurs, the Valuation Date will be the day that notice of such event is received by the Calculation Agent.</w:t>
      </w:r>
    </w:p>
    <w:p>
      <w:pPr>
        <w:pStyle w:val="Normal"/>
        <w:tabs>
          <w:tab w:val="clear" w:pos="720"/>
          <w:tab w:val="left" w:pos="3240" w:leader="none"/>
        </w:tabs>
        <w:ind w:hanging="3060" w:start="3420" w:end="0"/>
        <w:rPr>
          <w:rFonts w:ascii="Arial" w:hAnsi="Arial" w:cs="Arial"/>
        </w:rPr>
      </w:pPr>
      <w:r>
        <w:rPr>
          <w:rFonts w:cs="Arial" w:ascii="Arial" w:hAnsi="Arial"/>
        </w:rPr>
      </w:r>
    </w:p>
    <w:p>
      <w:pPr>
        <w:pStyle w:val="Normal"/>
        <w:tabs>
          <w:tab w:val="clear" w:pos="720"/>
          <w:tab w:val="left" w:pos="3240" w:leader="none"/>
        </w:tabs>
        <w:ind w:hanging="3060" w:start="3420" w:end="0"/>
        <w:rPr>
          <w:rFonts w:ascii="Arial" w:hAnsi="Arial" w:cs="Arial"/>
        </w:rPr>
      </w:pPr>
      <w:r>
        <w:rPr>
          <w:rFonts w:cs="Arial" w:ascii="Arial" w:hAnsi="Arial"/>
        </w:rPr>
        <w:t>Total Return</w:t>
      </w:r>
    </w:p>
    <w:p>
      <w:pPr>
        <w:pStyle w:val="Normal"/>
        <w:tabs>
          <w:tab w:val="clear" w:pos="720"/>
          <w:tab w:val="left" w:pos="3240" w:leader="none"/>
        </w:tabs>
        <w:ind w:hanging="2880" w:start="3240" w:end="0"/>
        <w:rPr>
          <w:rFonts w:ascii="Arial" w:hAnsi="Arial" w:cs="Arial"/>
        </w:rPr>
      </w:pPr>
      <w:r>
        <w:rPr>
          <w:rFonts w:cs="Arial" w:ascii="Arial" w:hAnsi="Arial"/>
        </w:rPr>
        <w:t>Calculation Period:</w:t>
        <w:tab/>
        <w:t>or “TR Calculation Period” means from and including one Valuation Date, or in the case of the initial period the Effective Date, to but excluding the next succeeding Valuation Date, or in the case of the final period, the Termination Date</w:t>
      </w:r>
    </w:p>
    <w:p>
      <w:pPr>
        <w:pStyle w:val="Normal"/>
        <w:tabs>
          <w:tab w:val="clear" w:pos="720"/>
          <w:tab w:val="left" w:pos="3240" w:leader="none"/>
        </w:tabs>
        <w:ind w:hanging="3060" w:start="3420" w:end="0"/>
        <w:rPr>
          <w:rFonts w:ascii="Arial" w:hAnsi="Arial" w:cs="Arial"/>
        </w:rPr>
      </w:pPr>
      <w:r>
        <w:rPr>
          <w:rFonts w:cs="Arial" w:ascii="Arial" w:hAnsi="Arial"/>
        </w:rPr>
      </w:r>
    </w:p>
    <w:p>
      <w:pPr>
        <w:pStyle w:val="Normal"/>
        <w:tabs>
          <w:tab w:val="clear" w:pos="720"/>
          <w:tab w:val="left" w:pos="3240" w:leader="none"/>
        </w:tabs>
        <w:ind w:hanging="3060" w:start="3420" w:end="0"/>
        <w:rPr>
          <w:rFonts w:ascii="Arial" w:hAnsi="Arial" w:cs="Arial"/>
        </w:rPr>
      </w:pPr>
      <w:r>
        <w:rPr>
          <w:rFonts w:cs="Arial" w:ascii="Arial" w:hAnsi="Arial"/>
        </w:rPr>
        <w:t>Total Return Amount:</w:t>
        <w:tab/>
        <w:t>An amount calculated as follows:</w:t>
      </w:r>
    </w:p>
    <w:p>
      <w:pPr>
        <w:pStyle w:val="Normal"/>
        <w:tabs>
          <w:tab w:val="clear" w:pos="720"/>
          <w:tab w:val="left" w:pos="3240" w:leader="none"/>
        </w:tabs>
        <w:ind w:hanging="3060" w:start="3420" w:end="0"/>
        <w:rPr>
          <w:rFonts w:ascii="Arial" w:hAnsi="Arial" w:cs="Arial"/>
        </w:rPr>
      </w:pPr>
      <w:r>
        <w:rPr>
          <w:rFonts w:cs="Arial" w:ascii="Arial" w:hAnsi="Arial"/>
        </w:rPr>
      </w:r>
    </w:p>
    <w:p>
      <w:pPr>
        <w:pStyle w:val="Normal"/>
        <w:tabs>
          <w:tab w:val="clear" w:pos="720"/>
          <w:tab w:val="left" w:pos="3240" w:leader="none"/>
        </w:tabs>
        <w:ind w:start="3420" w:end="0"/>
        <w:jc w:val="center"/>
        <w:rPr>
          <w:rFonts w:ascii="Arial" w:hAnsi="Arial" w:cs="Arial"/>
        </w:rPr>
      </w:pPr>
      <w:r>
        <w:rPr>
          <w:rFonts w:cs="Arial" w:ascii="Arial" w:hAnsi="Arial"/>
        </w:rPr>
        <w:t>Notional Amount x (End Price – Begin Price)</w:t>
      </w:r>
    </w:p>
    <w:p>
      <w:pPr>
        <w:pStyle w:val="Normal"/>
        <w:tabs>
          <w:tab w:val="clear" w:pos="720"/>
          <w:tab w:val="left" w:pos="3240" w:leader="none"/>
        </w:tabs>
        <w:ind w:hanging="2700" w:start="3420" w:end="0"/>
        <w:rPr>
          <w:rFonts w:ascii="Arial" w:hAnsi="Arial" w:cs="Arial"/>
        </w:rPr>
      </w:pPr>
      <w:r>
        <w:rPr>
          <w:rFonts w:cs="Arial" w:ascii="Arial" w:hAnsi="Arial"/>
        </w:rPr>
      </w:r>
    </w:p>
    <w:p>
      <w:pPr>
        <w:pStyle w:val="BodyTextIndent"/>
        <w:rPr>
          <w:rFonts w:ascii="Arial" w:hAnsi="Arial" w:cs="Arial"/>
          <w:color w:val="auto"/>
        </w:rPr>
      </w:pPr>
      <w:r>
        <w:rPr>
          <w:rFonts w:cs="Arial" w:ascii="Arial" w:hAnsi="Arial"/>
          <w:color w:val="auto"/>
        </w:rPr>
        <w:t>Begin Price:</w:t>
        <w:tab/>
        <w:t>(i) For the initial TR Calculation Period the Initial Price and (ii) with respect to the calculation of a Total Return Amount or Calculation Amount for each subsequent TR Calculation Period, the End Price determined on the Valuation Date for the immediately preceding TR Calculation Period</w:t>
      </w:r>
    </w:p>
    <w:p>
      <w:pPr>
        <w:pStyle w:val="Normal"/>
        <w:tabs>
          <w:tab w:val="clear" w:pos="720"/>
          <w:tab w:val="left" w:pos="3240" w:leader="none"/>
        </w:tabs>
        <w:ind w:hanging="2700" w:start="3420" w:end="0"/>
        <w:rPr>
          <w:rFonts w:ascii="Arial" w:hAnsi="Arial" w:cs="Arial"/>
          <w:color w:val="auto"/>
        </w:rPr>
      </w:pPr>
      <w:r>
        <w:rPr>
          <w:rFonts w:cs="Arial" w:ascii="Arial" w:hAnsi="Arial"/>
          <w:color w:val="auto"/>
        </w:rPr>
      </w:r>
    </w:p>
    <w:p>
      <w:pPr>
        <w:pStyle w:val="Normal"/>
        <w:tabs>
          <w:tab w:val="clear" w:pos="720"/>
          <w:tab w:val="left" w:pos="3240" w:leader="none"/>
        </w:tabs>
        <w:ind w:hanging="2520" w:start="3240" w:end="0"/>
        <w:rPr>
          <w:rFonts w:ascii="Arial" w:hAnsi="Arial" w:cs="Arial"/>
        </w:rPr>
      </w:pPr>
      <w:r>
        <w:rPr>
          <w:rFonts w:cs="Arial" w:ascii="Arial" w:hAnsi="Arial"/>
        </w:rPr>
        <w:t>End Price:</w:t>
        <w:tab/>
        <w:t>With respect to the determination of a Total Return Amount for any TR Calculation Period, the Reference Price determined on the Valuation Date immediately preceding the Total Return Payment Date for such TR Calculation Period</w:t>
      </w:r>
    </w:p>
    <w:p>
      <w:pPr>
        <w:pStyle w:val="Normal"/>
        <w:tabs>
          <w:tab w:val="clear" w:pos="720"/>
          <w:tab w:val="left" w:pos="3240" w:leader="none"/>
        </w:tabs>
        <w:ind w:hanging="2520" w:start="3240" w:end="0"/>
        <w:rPr>
          <w:rFonts w:ascii="Arial" w:hAnsi="Arial" w:cs="Arial"/>
        </w:rPr>
      </w:pPr>
      <w:r>
        <w:rPr>
          <w:rFonts w:cs="Arial" w:ascii="Arial" w:hAnsi="Arial"/>
        </w:rPr>
      </w:r>
    </w:p>
    <w:p>
      <w:pPr>
        <w:pStyle w:val="Normal"/>
        <w:tabs>
          <w:tab w:val="clear" w:pos="720"/>
          <w:tab w:val="left" w:pos="3240" w:leader="none"/>
        </w:tabs>
        <w:ind w:hanging="2520" w:start="3240" w:end="0"/>
        <w:rPr>
          <w:rFonts w:ascii="Arial" w:hAnsi="Arial" w:cs="Arial"/>
        </w:rPr>
      </w:pPr>
      <w:r>
        <w:rPr>
          <w:rFonts w:cs="Arial" w:ascii="Arial" w:hAnsi="Arial"/>
        </w:rPr>
        <w:t>Reference Price:</w:t>
        <w:tab/>
        <w:t>The firm bid price for an amount of the Reference Security equal to the Notional Amount, determined by the Calculation Agent in its sole discretion</w:t>
      </w:r>
    </w:p>
    <w:p>
      <w:pPr>
        <w:pStyle w:val="Normal"/>
        <w:tabs>
          <w:tab w:val="clear" w:pos="720"/>
          <w:tab w:val="left" w:pos="3240" w:leader="none"/>
        </w:tabs>
        <w:ind w:hanging="2880" w:start="3240" w:end="0"/>
        <w:rPr>
          <w:rFonts w:ascii="Arial" w:hAnsi="Arial" w:cs="Arial"/>
        </w:rPr>
      </w:pPr>
      <w:r>
        <w:rPr>
          <w:rFonts w:cs="Arial" w:ascii="Arial" w:hAnsi="Arial"/>
        </w:rPr>
      </w:r>
    </w:p>
    <w:p>
      <w:pPr>
        <w:pStyle w:val="Normal"/>
        <w:tabs>
          <w:tab w:val="clear" w:pos="720"/>
          <w:tab w:val="left" w:pos="3240" w:leader="none"/>
        </w:tabs>
        <w:ind w:hanging="2880" w:start="3240" w:end="0"/>
        <w:rPr>
          <w:rFonts w:ascii="Arial" w:hAnsi="Arial" w:cs="Arial"/>
        </w:rPr>
      </w:pPr>
      <w:r>
        <w:rPr>
          <w:rFonts w:cs="Arial" w:ascii="Arial" w:hAnsi="Arial"/>
        </w:rPr>
        <w:t>Dispute Resolution:</w:t>
        <w:tab/>
        <w:t>The Calculation Agent will provide notice of the Reference Price to Party B on or about 3:00 p.m. on the Final Valuation Date.  In the event Party B disputes such Reference Price, then on or prior to 5:00 p.m. on the Final Valuation Date Party B may request that the Calculation Agent conduct a dealer poll to determine the Reference Price.  Such poll will be conducted on the following Business Day as follows:</w:t>
      </w:r>
    </w:p>
    <w:p>
      <w:pPr>
        <w:pStyle w:val="Normal"/>
        <w:tabs>
          <w:tab w:val="clear" w:pos="720"/>
          <w:tab w:val="left" w:pos="3240" w:leader="none"/>
        </w:tabs>
        <w:ind w:start="3240" w:end="0"/>
        <w:rPr>
          <w:rFonts w:ascii="Arial" w:hAnsi="Arial" w:cs="Arial"/>
        </w:rPr>
      </w:pPr>
      <w:r>
        <w:rPr>
          <w:rFonts w:cs="Arial" w:ascii="Arial" w:hAnsi="Arial"/>
        </w:rPr>
      </w:r>
    </w:p>
    <w:p>
      <w:pPr>
        <w:pStyle w:val="Normal"/>
        <w:tabs>
          <w:tab w:val="clear" w:pos="720"/>
          <w:tab w:val="left" w:pos="3240" w:leader="none"/>
        </w:tabs>
        <w:ind w:start="3240" w:end="0"/>
        <w:rPr>
          <w:rFonts w:ascii="Arial" w:hAnsi="Arial" w:cs="Arial"/>
        </w:rPr>
      </w:pPr>
      <w:r>
        <w:rPr>
          <w:rFonts w:cs="Arial" w:ascii="Arial" w:hAnsi="Arial"/>
        </w:rPr>
        <w:t>Party A and Party B shall each select a market maker who deals in the Reference Security (each a “Determining Market Maker”) and the two Determining Market Makers shall mutually agree upon a third market maker who deals in the Reference Security (the “Mutual Market Maker”).  The Determining Market Makers and the Mutual Market Maker will submit to the Calculation Agent a bid for an amount of the Reference Security equal to the Notional Amount and the “Dealer Price” will be the highest bid price received from the three market makers.  [At Party B’s request, it may itself submit a bid for an amount of the Reference Security equal to the Notional Amount (the “Party B Price”).]  The Reference Price on the final Valuation Date will be [the higher of] the Dealer Price [and the Party B Price.  If Party B does not submit a bid, the Reference Price on the final Valuation Date will be the Dealer Price.]</w:t>
      </w:r>
    </w:p>
    <w:p>
      <w:pPr>
        <w:pStyle w:val="Normal"/>
        <w:tabs>
          <w:tab w:val="clear" w:pos="720"/>
          <w:tab w:val="left" w:pos="3240" w:leader="none"/>
          <w:tab w:val="left" w:pos="9576" w:leader="none"/>
        </w:tabs>
        <w:ind w:hanging="3420" w:start="3420" w:end="0"/>
        <w:rPr>
          <w:rFonts w:ascii="Arial" w:hAnsi="Arial" w:cs="Arial"/>
        </w:rPr>
      </w:pPr>
      <w:r>
        <w:rPr>
          <w:rFonts w:cs="Arial" w:ascii="Arial" w:hAnsi="Arial"/>
        </w:rPr>
      </w:r>
    </w:p>
    <w:p>
      <w:pPr>
        <w:pStyle w:val="Normal"/>
        <w:tabs>
          <w:tab w:val="clear" w:pos="720"/>
          <w:tab w:val="left" w:pos="3240" w:leader="none"/>
          <w:tab w:val="left" w:pos="9576" w:leader="none"/>
        </w:tabs>
        <w:ind w:hanging="3420" w:start="3420" w:end="0"/>
        <w:rPr>
          <w:rFonts w:ascii="Arial" w:hAnsi="Arial" w:cs="Arial"/>
        </w:rPr>
      </w:pPr>
      <w:r>
        <w:rPr>
          <w:rFonts w:cs="Arial" w:ascii="Arial" w:hAnsi="Arial"/>
        </w:rPr>
        <w:t>Business Days:</w:t>
        <w:tab/>
        <w:t>New York</w:t>
      </w:r>
    </w:p>
    <w:p>
      <w:pPr>
        <w:pStyle w:val="Normal"/>
        <w:tabs>
          <w:tab w:val="clear" w:pos="720"/>
          <w:tab w:val="left" w:pos="3240" w:leader="none"/>
          <w:tab w:val="left" w:pos="9576" w:leader="none"/>
        </w:tabs>
        <w:ind w:hanging="3420" w:start="3420" w:end="0"/>
        <w:rPr>
          <w:rFonts w:ascii="Arial" w:hAnsi="Arial" w:cs="Arial"/>
        </w:rPr>
      </w:pPr>
      <w:r>
        <w:rPr>
          <w:rFonts w:cs="Arial" w:ascii="Arial" w:hAnsi="Arial"/>
        </w:rPr>
      </w:r>
    </w:p>
    <w:p>
      <w:pPr>
        <w:pStyle w:val="BodyText2"/>
        <w:tabs>
          <w:tab w:val="clear" w:pos="720"/>
          <w:tab w:val="left" w:pos="3240" w:leader="none"/>
        </w:tabs>
        <w:ind w:hanging="3240" w:start="3240" w:end="0"/>
        <w:rPr>
          <w:rFonts w:ascii="Arial" w:hAnsi="Arial" w:cs="Arial"/>
        </w:rPr>
      </w:pPr>
      <w:r>
        <w:rPr>
          <w:rFonts w:cs="Arial" w:ascii="Arial" w:hAnsi="Arial"/>
        </w:rPr>
        <w:t>Business Day Convention:</w:t>
        <w:tab/>
        <w:t>Modified Following, which shall apply to all dates herein including the Termination Date</w:t>
      </w:r>
    </w:p>
    <w:p>
      <w:pPr>
        <w:pStyle w:val="Normal"/>
        <w:tabs>
          <w:tab w:val="clear" w:pos="720"/>
          <w:tab w:val="left" w:pos="3240" w:leader="none"/>
          <w:tab w:val="left" w:pos="9576" w:leader="none"/>
        </w:tabs>
        <w:ind w:hanging="3420" w:start="3420" w:end="0"/>
        <w:rPr>
          <w:rFonts w:ascii="Arial" w:hAnsi="Arial" w:cs="Arial"/>
        </w:rPr>
      </w:pPr>
      <w:r>
        <w:rPr>
          <w:rFonts w:cs="Arial" w:ascii="Arial" w:hAnsi="Arial"/>
        </w:rPr>
      </w:r>
    </w:p>
    <w:p>
      <w:pPr>
        <w:pStyle w:val="Normal"/>
        <w:tabs>
          <w:tab w:val="clear" w:pos="720"/>
          <w:tab w:val="left" w:pos="360" w:leader="none"/>
          <w:tab w:val="left" w:pos="3240" w:leader="none"/>
          <w:tab w:val="left" w:pos="9576" w:leader="none"/>
        </w:tabs>
        <w:ind w:hanging="3420" w:start="3420" w:end="0"/>
        <w:rPr>
          <w:rFonts w:ascii="Arial" w:hAnsi="Arial" w:cs="Arial"/>
        </w:rPr>
      </w:pPr>
      <w:r>
        <w:rPr>
          <w:rFonts w:cs="Arial" w:ascii="Arial" w:hAnsi="Arial"/>
        </w:rPr>
        <w:t>3.</w:t>
        <w:tab/>
        <w:t>Credit Support Document:</w:t>
        <w:tab/>
        <w:t>The Credit Support Annex with the following modifications:</w:t>
      </w:r>
    </w:p>
    <w:p>
      <w:pPr>
        <w:pStyle w:val="Normal"/>
        <w:tabs>
          <w:tab w:val="clear" w:pos="720"/>
          <w:tab w:val="left" w:pos="3240" w:leader="none"/>
          <w:tab w:val="left" w:pos="9576" w:leader="none"/>
        </w:tabs>
        <w:ind w:hanging="3420" w:start="3420" w:end="0"/>
        <w:rPr>
          <w:rFonts w:ascii="Arial" w:hAnsi="Arial" w:cs="Arial"/>
        </w:rPr>
      </w:pPr>
      <w:r>
        <w:rPr>
          <w:rFonts w:cs="Arial" w:ascii="Arial" w:hAnsi="Arial"/>
        </w:rPr>
      </w:r>
    </w:p>
    <w:p>
      <w:pPr>
        <w:pStyle w:val="Normal"/>
        <w:tabs>
          <w:tab w:val="clear" w:pos="720"/>
          <w:tab w:val="left" w:pos="3240" w:leader="none"/>
          <w:tab w:val="left" w:pos="9576" w:leader="none"/>
        </w:tabs>
        <w:ind w:start="3240" w:end="0"/>
        <w:rPr>
          <w:rFonts w:ascii="Arial" w:hAnsi="Arial" w:cs="Arial"/>
        </w:rPr>
      </w:pPr>
      <w:r>
        <w:rPr>
          <w:rFonts w:cs="Arial" w:ascii="Arial" w:hAnsi="Arial"/>
        </w:rPr>
        <w:t>“</w:t>
      </w:r>
      <w:r>
        <w:rPr>
          <w:rFonts w:cs="Arial" w:ascii="Arial" w:hAnsi="Arial"/>
        </w:rPr>
        <w:t>Independent Amount” means with respect to this Transaction and Party A; not applicable and with respect to Party B; for the first Calculation Period for this Transaction; USD [        ] and for each subsequent Calculation Period, [  ]% of the Calculation Amount;</w:t>
      </w:r>
    </w:p>
    <w:p>
      <w:pPr>
        <w:pStyle w:val="Normal"/>
        <w:tabs>
          <w:tab w:val="clear" w:pos="720"/>
          <w:tab w:val="left" w:pos="3240" w:leader="none"/>
          <w:tab w:val="left" w:pos="9576" w:leader="none"/>
        </w:tabs>
        <w:ind w:start="3240" w:end="0"/>
        <w:rPr>
          <w:rFonts w:ascii="Arial" w:hAnsi="Arial" w:cs="Arial"/>
        </w:rPr>
      </w:pPr>
      <w:r>
        <w:rPr>
          <w:rFonts w:cs="Arial" w:ascii="Arial" w:hAnsi="Arial"/>
        </w:rPr>
      </w:r>
    </w:p>
    <w:p>
      <w:pPr>
        <w:pStyle w:val="Normal"/>
        <w:tabs>
          <w:tab w:val="clear" w:pos="720"/>
          <w:tab w:val="left" w:pos="3240" w:leader="none"/>
          <w:tab w:val="left" w:pos="9576" w:leader="none"/>
        </w:tabs>
        <w:ind w:start="3240" w:end="0"/>
        <w:rPr>
          <w:rFonts w:ascii="Arial" w:hAnsi="Arial" w:cs="Arial"/>
        </w:rPr>
      </w:pPr>
      <w:r>
        <w:rPr>
          <w:rFonts w:cs="Arial" w:ascii="Arial" w:hAnsi="Arial"/>
        </w:rPr>
        <w:t>“</w:t>
      </w:r>
      <w:r>
        <w:rPr>
          <w:rFonts w:cs="Arial" w:ascii="Arial" w:hAnsi="Arial"/>
        </w:rPr>
        <w:t>Threshold” means, with respect to Party A, USD [      ] and with respect to Party B, USD [      ];</w:t>
      </w:r>
    </w:p>
    <w:p>
      <w:pPr>
        <w:pStyle w:val="Normal"/>
        <w:tabs>
          <w:tab w:val="clear" w:pos="720"/>
          <w:tab w:val="left" w:pos="3240" w:leader="none"/>
          <w:tab w:val="left" w:pos="9576" w:leader="none"/>
        </w:tabs>
        <w:ind w:start="3240" w:end="0"/>
        <w:rPr>
          <w:rFonts w:ascii="Arial" w:hAnsi="Arial" w:cs="Arial"/>
        </w:rPr>
      </w:pPr>
      <w:r>
        <w:rPr>
          <w:rFonts w:cs="Arial" w:ascii="Arial" w:hAnsi="Arial"/>
        </w:rPr>
      </w:r>
    </w:p>
    <w:p>
      <w:pPr>
        <w:pStyle w:val="Normal"/>
        <w:tabs>
          <w:tab w:val="clear" w:pos="720"/>
          <w:tab w:val="left" w:pos="3240" w:leader="none"/>
          <w:tab w:val="left" w:pos="9576" w:leader="none"/>
        </w:tabs>
        <w:ind w:start="3240" w:end="0"/>
        <w:rPr>
          <w:rFonts w:ascii="Arial" w:hAnsi="Arial" w:cs="Arial"/>
        </w:rPr>
      </w:pPr>
      <w:r>
        <w:rPr>
          <w:rFonts w:cs="Arial" w:ascii="Arial" w:hAnsi="Arial"/>
        </w:rPr>
        <w:t>“</w:t>
      </w:r>
      <w:r>
        <w:rPr>
          <w:rFonts w:cs="Arial" w:ascii="Arial" w:hAnsi="Arial"/>
        </w:rPr>
        <w:t>Minimum Transfer Amount” means, USD [      ]; and</w:t>
      </w:r>
    </w:p>
    <w:p>
      <w:pPr>
        <w:pStyle w:val="Normal"/>
        <w:tabs>
          <w:tab w:val="clear" w:pos="720"/>
          <w:tab w:val="left" w:pos="3240" w:leader="none"/>
          <w:tab w:val="left" w:pos="9576" w:leader="none"/>
        </w:tabs>
        <w:ind w:start="3240" w:end="0"/>
        <w:rPr>
          <w:rFonts w:ascii="Arial" w:hAnsi="Arial" w:cs="Arial"/>
        </w:rPr>
      </w:pPr>
      <w:r>
        <w:rPr>
          <w:rFonts w:cs="Arial" w:ascii="Arial" w:hAnsi="Arial"/>
        </w:rPr>
      </w:r>
    </w:p>
    <w:p>
      <w:pPr>
        <w:pStyle w:val="Normal"/>
        <w:tabs>
          <w:tab w:val="clear" w:pos="720"/>
          <w:tab w:val="left" w:pos="3240" w:leader="none"/>
          <w:tab w:val="left" w:pos="9576" w:leader="none"/>
        </w:tabs>
        <w:ind w:start="3240" w:end="0"/>
        <w:rPr>
          <w:rFonts w:ascii="Arial" w:hAnsi="Arial" w:cs="Arial"/>
        </w:rPr>
      </w:pPr>
      <w:r>
        <w:rPr>
          <w:rFonts w:cs="Arial" w:ascii="Arial" w:hAnsi="Arial"/>
        </w:rPr>
        <w:t>“</w:t>
      </w:r>
      <w:r>
        <w:rPr>
          <w:rFonts w:cs="Arial" w:ascii="Arial" w:hAnsi="Arial"/>
        </w:rPr>
        <w:t>Valuation Agent” means Party A.</w:t>
      </w:r>
    </w:p>
    <w:p>
      <w:pPr>
        <w:pStyle w:val="Normal"/>
        <w:tabs>
          <w:tab w:val="clear" w:pos="720"/>
          <w:tab w:val="left" w:pos="3240" w:leader="none"/>
          <w:tab w:val="left" w:pos="9576" w:leader="none"/>
        </w:tabs>
        <w:ind w:start="3240" w:end="0"/>
        <w:rPr>
          <w:rFonts w:ascii="Arial" w:hAnsi="Arial" w:cs="Arial"/>
        </w:rPr>
      </w:pPr>
      <w:r>
        <w:rPr>
          <w:rFonts w:cs="Arial" w:ascii="Arial" w:hAnsi="Arial"/>
        </w:rPr>
      </w:r>
    </w:p>
    <w:p>
      <w:pPr>
        <w:pStyle w:val="Normal"/>
        <w:tabs>
          <w:tab w:val="clear" w:pos="720"/>
          <w:tab w:val="left" w:pos="270" w:leader="none"/>
          <w:tab w:val="left" w:pos="3240" w:leader="none"/>
        </w:tabs>
        <w:ind w:start="3240" w:end="0"/>
        <w:rPr>
          <w:rFonts w:ascii="Arial" w:hAnsi="Arial" w:cs="Arial"/>
          <w:color w:val="0000FF"/>
        </w:rPr>
      </w:pPr>
      <w:r>
        <w:rPr>
          <w:rFonts w:cs="Arial" w:ascii="Arial" w:hAnsi="Arial"/>
          <w:color w:val="0000FF"/>
        </w:rPr>
        <w:t>[If there is any inconsistency between the terms of this section 3 of this Confirmation and the executed Agreement, the executed Agreement will govern.]</w:t>
      </w:r>
    </w:p>
    <w:p>
      <w:pPr>
        <w:pStyle w:val="Normal"/>
        <w:tabs>
          <w:tab w:val="clear" w:pos="720"/>
          <w:tab w:val="left" w:pos="3240" w:leader="none"/>
          <w:tab w:val="left" w:pos="9576" w:leader="none"/>
        </w:tabs>
        <w:ind w:hanging="3420" w:start="3420" w:end="0"/>
        <w:rPr>
          <w:rFonts w:ascii="Arial" w:hAnsi="Arial" w:cs="Arial"/>
          <w:color w:val="0000FF"/>
        </w:rPr>
      </w:pPr>
      <w:r>
        <w:rPr>
          <w:rFonts w:cs="Arial" w:ascii="Arial" w:hAnsi="Arial"/>
          <w:color w:val="0000FF"/>
        </w:rPr>
      </w:r>
    </w:p>
    <w:p>
      <w:pPr>
        <w:pStyle w:val="BodyText2"/>
        <w:tabs>
          <w:tab w:val="clear" w:pos="720"/>
          <w:tab w:val="left" w:pos="360" w:leader="none"/>
        </w:tabs>
        <w:ind w:start="0" w:end="360"/>
        <w:rPr>
          <w:rFonts w:ascii="Arial" w:hAnsi="Arial" w:cs="Arial"/>
        </w:rPr>
      </w:pPr>
      <w:r>
        <w:rPr>
          <w:rFonts w:cs="Arial" w:ascii="Arial" w:hAnsi="Arial"/>
        </w:rPr>
        <w:t>4.</w:t>
        <w:tab/>
        <w:t>Account Details for USD:</w:t>
      </w:r>
    </w:p>
    <w:p>
      <w:pPr>
        <w:pStyle w:val="BodyText2"/>
        <w:ind w:end="360"/>
        <w:rPr>
          <w:rFonts w:ascii="Arial" w:hAnsi="Arial" w:cs="Arial"/>
        </w:rPr>
      </w:pPr>
      <w:r>
        <w:rPr>
          <w:rFonts w:cs="Arial" w:ascii="Arial" w:hAnsi="Arial"/>
        </w:rPr>
      </w:r>
    </w:p>
    <w:p>
      <w:pPr>
        <w:pStyle w:val="Normal"/>
        <w:tabs>
          <w:tab w:val="clear" w:pos="720"/>
          <w:tab w:val="left" w:pos="810" w:leader="none"/>
          <w:tab w:val="left" w:pos="3240" w:leader="none"/>
        </w:tabs>
        <w:ind w:hanging="3240" w:start="3240" w:end="0"/>
        <w:jc w:val="both"/>
        <w:rPr/>
      </w:pPr>
      <w:r>
        <w:rPr>
          <w:rFonts w:cs="Arial" w:ascii="Arial" w:hAnsi="Arial"/>
        </w:rPr>
        <w:t>Payments to Party A:</w:t>
        <w:tab/>
      </w:r>
      <w:r>
        <w:rPr>
          <w:rFonts w:cs="Arial" w:ascii="Arial" w:hAnsi="Arial"/>
          <w:color w:val="000000"/>
        </w:rPr>
        <w:t>The Chase Manhattan Bank, New York</w:t>
      </w:r>
    </w:p>
    <w:p>
      <w:pPr>
        <w:pStyle w:val="Normal"/>
        <w:tabs>
          <w:tab w:val="clear" w:pos="720"/>
          <w:tab w:val="left" w:pos="-630" w:leader="none"/>
        </w:tabs>
        <w:ind w:start="3240" w:end="0"/>
        <w:jc w:val="both"/>
        <w:rPr>
          <w:rFonts w:ascii="Arial" w:hAnsi="Arial" w:cs="Arial"/>
          <w:color w:val="000000"/>
        </w:rPr>
      </w:pPr>
      <w:r>
        <w:rPr>
          <w:rFonts w:cs="Arial" w:ascii="Arial" w:hAnsi="Arial"/>
          <w:color w:val="000000"/>
        </w:rPr>
        <w:t>ABA 021-000-021</w:t>
      </w:r>
    </w:p>
    <w:p>
      <w:pPr>
        <w:pStyle w:val="Normal"/>
        <w:tabs>
          <w:tab w:val="clear" w:pos="720"/>
          <w:tab w:val="left" w:pos="-630" w:leader="none"/>
        </w:tabs>
        <w:ind w:start="3240" w:end="0"/>
        <w:jc w:val="both"/>
        <w:rPr>
          <w:rFonts w:ascii="Arial" w:hAnsi="Arial" w:cs="Arial"/>
          <w:color w:val="000000"/>
        </w:rPr>
      </w:pPr>
      <w:r>
        <w:rPr>
          <w:rFonts w:cs="Arial" w:ascii="Arial" w:hAnsi="Arial"/>
          <w:color w:val="000000"/>
        </w:rPr>
        <w:t>Account No. 066 609 615</w:t>
      </w:r>
    </w:p>
    <w:p>
      <w:pPr>
        <w:pStyle w:val="Normal"/>
        <w:tabs>
          <w:tab w:val="clear" w:pos="720"/>
          <w:tab w:val="left" w:pos="-630" w:leader="none"/>
        </w:tabs>
        <w:ind w:start="3240" w:end="0"/>
        <w:jc w:val="both"/>
        <w:rPr>
          <w:rFonts w:ascii="Arial" w:hAnsi="Arial" w:cs="Arial"/>
          <w:color w:val="000000"/>
        </w:rPr>
      </w:pPr>
      <w:r>
        <w:rPr>
          <w:rFonts w:cs="Arial" w:ascii="Arial" w:hAnsi="Arial"/>
          <w:color w:val="000000"/>
        </w:rPr>
        <w:t>Reference: DLJ International Capital</w:t>
      </w:r>
    </w:p>
    <w:p>
      <w:pPr>
        <w:pStyle w:val="Normal"/>
        <w:tabs>
          <w:tab w:val="clear" w:pos="720"/>
          <w:tab w:val="left" w:pos="0" w:leader="none"/>
        </w:tabs>
        <w:ind w:start="3240" w:end="0"/>
        <w:jc w:val="both"/>
        <w:rPr>
          <w:rFonts w:ascii="Arial" w:hAnsi="Arial" w:cs="Arial"/>
          <w:color w:val="000000"/>
        </w:rPr>
      </w:pPr>
      <w:r>
        <w:rPr>
          <w:rFonts w:cs="Arial" w:ascii="Arial" w:hAnsi="Arial"/>
          <w:color w:val="000000"/>
        </w:rPr>
        <w:t>Attention: Sam Rivera</w:t>
      </w:r>
    </w:p>
    <w:p>
      <w:pPr>
        <w:pStyle w:val="BodyText2"/>
        <w:ind w:hanging="2880" w:start="3240" w:end="360"/>
        <w:rPr>
          <w:rFonts w:ascii="Arial" w:hAnsi="Arial" w:cs="Arial"/>
          <w:color w:val="000000"/>
        </w:rPr>
      </w:pPr>
      <w:r>
        <w:rPr>
          <w:rFonts w:cs="Arial" w:ascii="Arial" w:hAnsi="Arial"/>
          <w:color w:val="000000"/>
        </w:rPr>
      </w:r>
    </w:p>
    <w:p>
      <w:pPr>
        <w:pStyle w:val="Normal"/>
        <w:ind w:hanging="2880" w:start="3240" w:end="0"/>
        <w:rPr>
          <w:rFonts w:ascii="Arial" w:hAnsi="Arial" w:cs="Arial"/>
        </w:rPr>
      </w:pPr>
      <w:r>
        <w:rPr>
          <w:rFonts w:cs="Arial" w:ascii="Arial" w:hAnsi="Arial"/>
        </w:rPr>
        <w:t>Payments to Party B:</w:t>
        <w:tab/>
        <w:t>Bank</w:t>
        <w:br/>
        <w:t xml:space="preserve">ABA #: </w:t>
        <w:br/>
        <w:t xml:space="preserve">Acct #: </w:t>
        <w:br/>
        <w:t xml:space="preserve">Reference: </w:t>
      </w:r>
    </w:p>
    <w:p>
      <w:pPr>
        <w:pStyle w:val="Normal"/>
        <w:ind w:start="360" w:end="0"/>
        <w:rPr>
          <w:rFonts w:ascii="Arial" w:hAnsi="Arial" w:cs="Arial"/>
        </w:rPr>
      </w:pPr>
      <w:r>
        <w:rPr>
          <w:rFonts w:cs="Arial" w:ascii="Arial" w:hAnsi="Arial"/>
        </w:rPr>
      </w:r>
    </w:p>
    <w:p>
      <w:pPr>
        <w:pStyle w:val="BodyText2"/>
        <w:tabs>
          <w:tab w:val="clear" w:pos="720"/>
          <w:tab w:val="left" w:pos="360" w:leader="none"/>
        </w:tabs>
        <w:ind w:start="0" w:end="360"/>
        <w:rPr>
          <w:rFonts w:ascii="Arial" w:hAnsi="Arial" w:cs="Arial"/>
        </w:rPr>
      </w:pPr>
      <w:r>
        <w:rPr>
          <w:rFonts w:cs="Arial" w:ascii="Arial" w:hAnsi="Arial"/>
        </w:rPr>
        <w:t>5.</w:t>
        <w:tab/>
        <w:t>Offices and Addresses for Notices in connection with this Transaction:</w:t>
      </w:r>
    </w:p>
    <w:p>
      <w:pPr>
        <w:pStyle w:val="BodyText2"/>
        <w:ind w:hanging="2880" w:start="3240" w:end="360"/>
        <w:rPr>
          <w:rFonts w:ascii="Arial" w:hAnsi="Arial" w:cs="Arial"/>
        </w:rPr>
      </w:pPr>
      <w:r>
        <w:rPr>
          <w:rFonts w:cs="Arial" w:ascii="Arial" w:hAnsi="Arial"/>
        </w:rPr>
      </w:r>
    </w:p>
    <w:p>
      <w:pPr>
        <w:pStyle w:val="Normal"/>
        <w:ind w:hanging="2880" w:start="3240" w:end="0"/>
        <w:jc w:val="both"/>
        <w:rPr/>
      </w:pPr>
      <w:r>
        <w:rPr>
          <w:rFonts w:cs="Arial" w:ascii="Arial" w:hAnsi="Arial"/>
        </w:rPr>
        <w:t>Party A:</w:t>
        <w:tab/>
      </w:r>
      <w:r>
        <w:rPr>
          <w:rFonts w:cs="Arial" w:ascii="Arial" w:hAnsi="Arial"/>
          <w:color w:val="000000"/>
        </w:rPr>
        <w:t>DLJ International Capital</w:t>
      </w:r>
    </w:p>
    <w:p>
      <w:pPr>
        <w:pStyle w:val="Normal"/>
        <w:ind w:start="3240" w:end="0"/>
        <w:jc w:val="both"/>
        <w:rPr>
          <w:rFonts w:ascii="Arial" w:hAnsi="Arial" w:cs="Arial"/>
          <w:color w:val="000000"/>
        </w:rPr>
      </w:pPr>
      <w:r>
        <w:rPr>
          <w:rFonts w:cs="Arial" w:ascii="Arial" w:hAnsi="Arial"/>
          <w:color w:val="000000"/>
        </w:rPr>
        <w:t>First Home Tower</w:t>
      </w:r>
    </w:p>
    <w:p>
      <w:pPr>
        <w:pStyle w:val="Normal"/>
        <w:ind w:start="3240" w:end="0"/>
        <w:jc w:val="both"/>
        <w:rPr>
          <w:rFonts w:ascii="Arial" w:hAnsi="Arial" w:cs="Arial"/>
          <w:color w:val="000000"/>
        </w:rPr>
      </w:pPr>
      <w:r>
        <w:rPr>
          <w:rFonts w:cs="Arial" w:ascii="Arial" w:hAnsi="Arial"/>
          <w:color w:val="000000"/>
        </w:rPr>
        <w:t>British American Centre</w:t>
      </w:r>
    </w:p>
    <w:p>
      <w:pPr>
        <w:pStyle w:val="Normal"/>
        <w:ind w:start="3240" w:end="0"/>
        <w:jc w:val="both"/>
        <w:rPr>
          <w:rFonts w:ascii="Arial" w:hAnsi="Arial" w:cs="Arial"/>
          <w:color w:val="000000"/>
        </w:rPr>
      </w:pPr>
      <w:r>
        <w:rPr>
          <w:rFonts w:cs="Arial" w:ascii="Arial" w:hAnsi="Arial"/>
          <w:color w:val="000000"/>
        </w:rPr>
        <w:t>George Town, Grand Cayman</w:t>
      </w:r>
    </w:p>
    <w:p>
      <w:pPr>
        <w:pStyle w:val="Normal"/>
        <w:ind w:start="3240" w:end="0"/>
        <w:jc w:val="both"/>
        <w:rPr>
          <w:rFonts w:ascii="Arial" w:hAnsi="Arial" w:cs="Arial"/>
          <w:color w:val="000000"/>
        </w:rPr>
      </w:pPr>
      <w:r>
        <w:rPr>
          <w:rFonts w:cs="Arial" w:ascii="Arial" w:hAnsi="Arial"/>
          <w:color w:val="000000"/>
        </w:rPr>
        <w:t>Cayman Islands</w:t>
      </w:r>
    </w:p>
    <w:p>
      <w:pPr>
        <w:pStyle w:val="Normal"/>
        <w:ind w:start="3240" w:end="0"/>
        <w:rPr>
          <w:rFonts w:ascii="Arial" w:hAnsi="Arial" w:cs="Arial"/>
          <w:color w:val="000000"/>
        </w:rPr>
      </w:pPr>
      <w:r>
        <w:rPr>
          <w:rFonts w:cs="Arial" w:ascii="Arial" w:hAnsi="Arial"/>
          <w:color w:val="000000"/>
        </w:rPr>
      </w:r>
    </w:p>
    <w:p>
      <w:pPr>
        <w:pStyle w:val="Normal"/>
        <w:ind w:start="3240" w:end="0"/>
        <w:rPr>
          <w:rFonts w:ascii="Arial" w:hAnsi="Arial" w:cs="Arial"/>
          <w:u w:val="single"/>
        </w:rPr>
      </w:pPr>
      <w:r>
        <w:rPr>
          <w:rFonts w:cs="Arial" w:ascii="Arial" w:hAnsi="Arial"/>
          <w:u w:val="single"/>
        </w:rPr>
        <w:t>All reset and payment notices should be sent to:</w:t>
      </w:r>
    </w:p>
    <w:p>
      <w:pPr>
        <w:pStyle w:val="Normal"/>
        <w:ind w:start="3240" w:end="0"/>
        <w:rPr>
          <w:rFonts w:ascii="Arial" w:hAnsi="Arial" w:cs="Arial"/>
          <w:u w:val="single"/>
        </w:rPr>
      </w:pPr>
      <w:r>
        <w:rPr>
          <w:rFonts w:cs="Arial" w:ascii="Arial" w:hAnsi="Arial"/>
          <w:u w:val="single"/>
        </w:rPr>
      </w:r>
    </w:p>
    <w:p>
      <w:pPr>
        <w:pStyle w:val="Normal"/>
        <w:ind w:start="3240" w:end="0"/>
        <w:jc w:val="both"/>
        <w:rPr>
          <w:rFonts w:ascii="Arial" w:hAnsi="Arial" w:cs="Arial"/>
          <w:color w:val="000000"/>
        </w:rPr>
      </w:pPr>
      <w:r>
        <w:rPr>
          <w:rFonts w:cs="Arial" w:ascii="Arial" w:hAnsi="Arial"/>
          <w:color w:val="000000"/>
        </w:rPr>
        <w:t>DLJ International Capital</w:t>
      </w:r>
    </w:p>
    <w:p>
      <w:pPr>
        <w:pStyle w:val="Normal"/>
        <w:ind w:start="3240" w:end="0"/>
        <w:jc w:val="both"/>
        <w:rPr>
          <w:rFonts w:ascii="Arial" w:hAnsi="Arial" w:cs="Arial"/>
          <w:color w:val="000000"/>
        </w:rPr>
      </w:pPr>
      <w:r>
        <w:rPr>
          <w:rFonts w:cs="Arial" w:ascii="Arial" w:hAnsi="Arial"/>
          <w:color w:val="000000"/>
        </w:rPr>
        <w:t>c/o Donaldson, Lufkin, &amp; Jenrette Securities Corporation</w:t>
      </w:r>
    </w:p>
    <w:p>
      <w:pPr>
        <w:pStyle w:val="BodyText2"/>
        <w:tabs>
          <w:tab w:val="left" w:pos="720" w:leader="none"/>
        </w:tabs>
        <w:ind w:start="3240" w:end="0"/>
        <w:rPr/>
      </w:pPr>
      <w:r>
        <w:rPr>
          <w:rFonts w:cs="Arial" w:ascii="Arial" w:hAnsi="Arial"/>
          <w:color w:val="000000"/>
        </w:rPr>
        <w:t>277 Park Avenue, 9</w:t>
      </w:r>
      <w:r>
        <w:rPr>
          <w:rFonts w:cs="Arial" w:ascii="Arial" w:hAnsi="Arial"/>
          <w:color w:val="000000"/>
          <w:vertAlign w:val="superscript"/>
        </w:rPr>
        <w:t>th</w:t>
      </w:r>
      <w:r>
        <w:rPr>
          <w:rFonts w:cs="Arial" w:ascii="Arial" w:hAnsi="Arial"/>
          <w:color w:val="000000"/>
        </w:rPr>
        <w:t xml:space="preserve"> Floor</w:t>
      </w:r>
    </w:p>
    <w:p>
      <w:pPr>
        <w:pStyle w:val="BodyText2"/>
        <w:tabs>
          <w:tab w:val="left" w:pos="720" w:leader="none"/>
        </w:tabs>
        <w:ind w:start="3240" w:end="0"/>
        <w:rPr>
          <w:rFonts w:ascii="Arial" w:hAnsi="Arial" w:cs="Arial"/>
          <w:color w:val="000000"/>
        </w:rPr>
      </w:pPr>
      <w:r>
        <w:rPr>
          <w:rFonts w:cs="Arial" w:ascii="Arial" w:hAnsi="Arial"/>
          <w:color w:val="000000"/>
        </w:rPr>
        <w:t>New York, NY  10172</w:t>
      </w:r>
    </w:p>
    <w:p>
      <w:pPr>
        <w:pStyle w:val="BodyText2"/>
        <w:tabs>
          <w:tab w:val="left" w:pos="720" w:leader="none"/>
        </w:tabs>
        <w:ind w:start="3240" w:end="0"/>
        <w:rPr>
          <w:rFonts w:ascii="Arial" w:hAnsi="Arial" w:cs="Arial"/>
          <w:color w:val="000000"/>
        </w:rPr>
      </w:pPr>
      <w:r>
        <w:rPr>
          <w:rFonts w:cs="Arial" w:ascii="Arial" w:hAnsi="Arial"/>
          <w:color w:val="000000"/>
        </w:rPr>
        <w:t>Attn.: Rich Glickman</w:t>
      </w:r>
    </w:p>
    <w:p>
      <w:pPr>
        <w:pStyle w:val="BodyText2"/>
        <w:tabs>
          <w:tab w:val="left" w:pos="720" w:leader="none"/>
        </w:tabs>
        <w:ind w:start="3240" w:end="0"/>
        <w:rPr>
          <w:rFonts w:ascii="Arial" w:hAnsi="Arial" w:cs="Arial"/>
          <w:color w:val="000000"/>
        </w:rPr>
      </w:pPr>
      <w:r>
        <w:rPr>
          <w:rFonts w:cs="Arial" w:ascii="Arial" w:hAnsi="Arial"/>
          <w:color w:val="000000"/>
        </w:rPr>
        <w:t>Tel.: (212) 892-2260</w:t>
      </w:r>
    </w:p>
    <w:p>
      <w:pPr>
        <w:pStyle w:val="BodyText2"/>
        <w:tabs>
          <w:tab w:val="left" w:pos="720" w:leader="none"/>
        </w:tabs>
        <w:ind w:start="3240" w:end="0"/>
        <w:rPr>
          <w:rFonts w:ascii="Arial" w:hAnsi="Arial" w:cs="Arial"/>
          <w:color w:val="000000"/>
        </w:rPr>
      </w:pPr>
      <w:r>
        <w:rPr>
          <w:rFonts w:cs="Arial" w:ascii="Arial" w:hAnsi="Arial"/>
          <w:color w:val="000000"/>
        </w:rPr>
        <w:t>Fax: (212) 892-8680</w:t>
      </w:r>
    </w:p>
    <w:p>
      <w:pPr>
        <w:pStyle w:val="BodyText2"/>
        <w:tabs>
          <w:tab w:val="left" w:pos="720" w:leader="none"/>
        </w:tabs>
        <w:ind w:start="3240" w:end="0"/>
        <w:rPr>
          <w:rFonts w:ascii="Arial" w:hAnsi="Arial" w:cs="Arial"/>
          <w:color w:val="000000"/>
        </w:rPr>
      </w:pPr>
      <w:r>
        <w:rPr>
          <w:rFonts w:cs="Arial" w:ascii="Arial" w:hAnsi="Arial"/>
          <w:color w:val="000000"/>
        </w:rPr>
      </w:r>
    </w:p>
    <w:p>
      <w:pPr>
        <w:pStyle w:val="BodyText2"/>
        <w:tabs>
          <w:tab w:val="left" w:pos="720" w:leader="none"/>
        </w:tabs>
        <w:ind w:hanging="2880" w:start="3240" w:end="0"/>
        <w:rPr>
          <w:rFonts w:ascii="Arial" w:hAnsi="Arial" w:cs="Arial"/>
        </w:rPr>
      </w:pPr>
      <w:r>
        <w:rPr>
          <w:rFonts w:cs="Arial" w:ascii="Arial" w:hAnsi="Arial"/>
        </w:rPr>
      </w:r>
    </w:p>
    <w:p>
      <w:pPr>
        <w:pStyle w:val="BodyText2"/>
        <w:ind w:hanging="2880" w:start="3240" w:end="0"/>
        <w:rPr>
          <w:rFonts w:ascii="Arial" w:hAnsi="Arial" w:cs="Arial"/>
        </w:rPr>
      </w:pPr>
      <w:r>
        <w:rPr>
          <w:rFonts w:cs="Arial" w:ascii="Arial" w:hAnsi="Arial"/>
        </w:rPr>
        <w:t>Party B:</w:t>
        <w:tab/>
        <w:t>Please provide</w:t>
      </w:r>
    </w:p>
    <w:p>
      <w:pPr>
        <w:pStyle w:val="BodyText2"/>
        <w:tabs>
          <w:tab w:val="left" w:pos="720" w:leader="none"/>
        </w:tabs>
        <w:ind w:start="3240" w:end="0"/>
        <w:rPr>
          <w:rFonts w:ascii="Arial" w:hAnsi="Arial" w:cs="Arial"/>
        </w:rPr>
      </w:pPr>
      <w:r>
        <w:rPr>
          <w:rFonts w:cs="Arial" w:ascii="Arial" w:hAnsi="Arial"/>
        </w:rPr>
        <w:t>_________________________</w:t>
      </w:r>
    </w:p>
    <w:p>
      <w:pPr>
        <w:pStyle w:val="BodyText2"/>
        <w:tabs>
          <w:tab w:val="left" w:pos="720" w:leader="none"/>
        </w:tabs>
        <w:ind w:start="3240" w:end="0"/>
        <w:rPr>
          <w:rFonts w:ascii="Arial" w:hAnsi="Arial" w:cs="Arial"/>
        </w:rPr>
      </w:pPr>
      <w:r>
        <w:rPr>
          <w:rFonts w:cs="Arial" w:ascii="Arial" w:hAnsi="Arial"/>
        </w:rPr>
        <w:t>_________________________</w:t>
      </w:r>
    </w:p>
    <w:p>
      <w:pPr>
        <w:pStyle w:val="BodyText2"/>
        <w:tabs>
          <w:tab w:val="left" w:pos="720" w:leader="none"/>
        </w:tabs>
        <w:ind w:start="3240" w:end="0"/>
        <w:rPr>
          <w:rFonts w:ascii="Arial" w:hAnsi="Arial" w:cs="Arial"/>
        </w:rPr>
      </w:pPr>
      <w:r>
        <w:rPr>
          <w:rFonts w:cs="Arial" w:ascii="Arial" w:hAnsi="Arial"/>
        </w:rPr>
        <w:t>_________________________</w:t>
      </w:r>
    </w:p>
    <w:p>
      <w:pPr>
        <w:pStyle w:val="Normal"/>
        <w:tabs>
          <w:tab w:val="clear" w:pos="720"/>
          <w:tab w:val="left" w:pos="3420" w:leader="none"/>
        </w:tabs>
        <w:ind w:hanging="3420" w:start="3420" w:end="0"/>
        <w:rPr>
          <w:rFonts w:ascii="Arial" w:hAnsi="Arial" w:cs="Arial"/>
        </w:rPr>
      </w:pPr>
      <w:r>
        <w:rPr>
          <w:rFonts w:cs="Arial" w:ascii="Arial" w:hAnsi="Arial"/>
        </w:rPr>
      </w:r>
    </w:p>
    <w:p>
      <w:pPr>
        <w:pStyle w:val="Normal"/>
        <w:tabs>
          <w:tab w:val="clear" w:pos="720"/>
          <w:tab w:val="left" w:pos="360" w:leader="none"/>
        </w:tabs>
        <w:ind w:hanging="360" w:start="360" w:end="0"/>
        <w:rPr>
          <w:rFonts w:ascii="Arial" w:hAnsi="Arial" w:cs="Arial"/>
        </w:rPr>
      </w:pPr>
      <w:r>
        <w:rPr>
          <w:rFonts w:cs="Arial" w:ascii="Arial" w:hAnsi="Arial"/>
        </w:rPr>
        <w:t>6.</w:t>
        <w:tab/>
        <w:t>Additional Provisions:</w:t>
      </w:r>
    </w:p>
    <w:p>
      <w:pPr>
        <w:pStyle w:val="Normal"/>
        <w:tabs>
          <w:tab w:val="clear" w:pos="720"/>
          <w:tab w:val="left" w:pos="3420" w:leader="none"/>
        </w:tabs>
        <w:ind w:hanging="3420" w:start="3420" w:end="0"/>
        <w:rPr>
          <w:rFonts w:ascii="Arial" w:hAnsi="Arial" w:cs="Arial"/>
        </w:rPr>
      </w:pPr>
      <w:r>
        <w:rPr>
          <w:rFonts w:cs="Arial" w:ascii="Arial" w:hAnsi="Arial"/>
        </w:rPr>
      </w:r>
    </w:p>
    <w:p>
      <w:pPr>
        <w:pStyle w:val="Normal"/>
        <w:tabs>
          <w:tab w:val="clear" w:pos="720"/>
          <w:tab w:val="left" w:pos="3360" w:leader="none"/>
          <w:tab w:val="left" w:pos="3420" w:leader="none"/>
          <w:tab w:val="left" w:pos="9480" w:leader="none"/>
        </w:tabs>
        <w:ind w:hanging="3420" w:start="3420" w:end="0"/>
        <w:rPr>
          <w:rFonts w:ascii="Arial" w:hAnsi="Arial" w:cs="Arial"/>
          <w:b/>
          <w:u w:val="single"/>
        </w:rPr>
      </w:pPr>
      <w:r>
        <w:rPr>
          <w:rFonts w:cs="Arial" w:ascii="Arial" w:hAnsi="Arial"/>
          <w:b/>
          <w:u w:val="single"/>
        </w:rPr>
        <w:t>Early Termination Events:</w:t>
      </w:r>
    </w:p>
    <w:p>
      <w:pPr>
        <w:pStyle w:val="Header"/>
        <w:tabs>
          <w:tab w:val="clear" w:pos="4320"/>
          <w:tab w:val="clear" w:pos="8640"/>
          <w:tab w:val="right" w:pos="3360" w:leader="none"/>
          <w:tab w:val="left" w:pos="3420" w:leader="none"/>
          <w:tab w:val="right" w:pos="9480" w:leader="none"/>
        </w:tabs>
        <w:ind w:hanging="3420" w:start="3420" w:end="0"/>
        <w:rPr>
          <w:rFonts w:ascii="Arial" w:hAnsi="Arial" w:cs="Arial"/>
          <w:b/>
          <w:sz w:val="20"/>
          <w:u w:val="single"/>
        </w:rPr>
      </w:pPr>
      <w:r>
        <w:rPr>
          <w:rFonts w:cs="Arial" w:ascii="Arial" w:hAnsi="Arial"/>
          <w:b/>
          <w:sz w:val="20"/>
          <w:u w:val="single"/>
        </w:rPr>
      </w:r>
    </w:p>
    <w:p>
      <w:pPr>
        <w:pStyle w:val="Header"/>
        <w:tabs>
          <w:tab w:val="clear" w:pos="4320"/>
          <w:tab w:val="clear" w:pos="8640"/>
          <w:tab w:val="left" w:pos="360" w:leader="none"/>
        </w:tabs>
        <w:rPr>
          <w:rFonts w:ascii="Arial" w:hAnsi="Arial" w:cs="Arial"/>
          <w:sz w:val="20"/>
        </w:rPr>
      </w:pPr>
      <w:r>
        <w:rPr>
          <w:rFonts w:cs="Arial" w:ascii="Arial" w:hAnsi="Arial"/>
          <w:sz w:val="20"/>
        </w:rPr>
        <w:t>(i)</w:t>
        <w:tab/>
        <w:t>The following shall each constitute an Early Termination Event and shall collectively be referred to herein as “Issuer Events”:</w:t>
      </w:r>
    </w:p>
    <w:p>
      <w:pPr>
        <w:pStyle w:val="Header"/>
        <w:tabs>
          <w:tab w:val="clear" w:pos="4320"/>
          <w:tab w:val="clear" w:pos="8640"/>
          <w:tab w:val="right" w:pos="3360" w:leader="none"/>
          <w:tab w:val="left" w:pos="3420" w:leader="none"/>
          <w:tab w:val="right" w:pos="9480" w:leader="none"/>
        </w:tabs>
        <w:ind w:hanging="3420" w:start="3420" w:end="0"/>
        <w:rPr>
          <w:rFonts w:ascii="Arial" w:hAnsi="Arial" w:cs="Arial"/>
          <w:sz w:val="20"/>
        </w:rPr>
      </w:pPr>
      <w:r>
        <w:rPr>
          <w:rFonts w:cs="Arial" w:ascii="Arial" w:hAnsi="Arial"/>
          <w:sz w:val="20"/>
        </w:rPr>
      </w:r>
    </w:p>
    <w:p>
      <w:pPr>
        <w:pStyle w:val="Header"/>
        <w:tabs>
          <w:tab w:val="clear" w:pos="4320"/>
          <w:tab w:val="clear" w:pos="8640"/>
          <w:tab w:val="left" w:pos="720" w:leader="none"/>
          <w:tab w:val="left" w:pos="3240" w:leader="none"/>
          <w:tab w:val="right" w:pos="9480" w:leader="none"/>
        </w:tabs>
        <w:ind w:start="360" w:end="0"/>
        <w:jc w:val="both"/>
        <w:rPr>
          <w:rFonts w:ascii="Arial" w:hAnsi="Arial" w:cs="Arial"/>
          <w:sz w:val="20"/>
        </w:rPr>
      </w:pPr>
      <w:r>
        <w:rPr>
          <w:rFonts w:cs="Arial" w:ascii="Arial" w:hAnsi="Arial"/>
          <w:sz w:val="20"/>
        </w:rPr>
        <w:t>(a)</w:t>
        <w:tab/>
        <w:t>At any time during the Term of this Transaction, the Issuer fails to make any interest or principal payments (howsoever described) under one or more Obligations which has resulted in such Obligations becoming due and payable before they would otherwise have been due and payable.  As used herein, “Obligations” shall mean, with respect to the Issuer, any present or future obligation (whether contingent or otherwise) under one or more agreements or instruments for the payment or repayment of money.</w:t>
      </w:r>
    </w:p>
    <w:p>
      <w:pPr>
        <w:pStyle w:val="Header"/>
        <w:tabs>
          <w:tab w:val="clear" w:pos="4320"/>
          <w:tab w:val="clear" w:pos="8640"/>
          <w:tab w:val="left" w:pos="720" w:leader="none"/>
          <w:tab w:val="left" w:pos="3240" w:leader="none"/>
          <w:tab w:val="right" w:pos="9480" w:leader="none"/>
        </w:tabs>
        <w:ind w:start="360" w:end="0"/>
        <w:rPr>
          <w:rFonts w:ascii="Arial" w:hAnsi="Arial" w:cs="Arial"/>
          <w:sz w:val="20"/>
        </w:rPr>
      </w:pPr>
      <w:r>
        <w:rPr>
          <w:rFonts w:cs="Arial" w:ascii="Arial" w:hAnsi="Arial"/>
          <w:sz w:val="20"/>
        </w:rPr>
      </w:r>
    </w:p>
    <w:p>
      <w:pPr>
        <w:pStyle w:val="Header"/>
        <w:tabs>
          <w:tab w:val="clear" w:pos="4320"/>
          <w:tab w:val="clear" w:pos="8640"/>
          <w:tab w:val="left" w:pos="720" w:leader="none"/>
        </w:tabs>
        <w:ind w:start="360" w:end="0"/>
        <w:jc w:val="both"/>
        <w:rPr>
          <w:rFonts w:ascii="Arial" w:hAnsi="Arial" w:cs="Arial"/>
          <w:sz w:val="20"/>
        </w:rPr>
      </w:pPr>
      <w:r>
        <w:rPr>
          <w:rFonts w:cs="Arial" w:ascii="Arial" w:hAnsi="Arial"/>
          <w:sz w:val="20"/>
        </w:rPr>
        <w:t>(b)</w:t>
        <w:tab/>
        <w:t>At any time during the Term of this Transaction, the Reference Security is called, redeemed, repurchased or otherwise terminated prior to its original maturity.</w:t>
      </w:r>
    </w:p>
    <w:p>
      <w:pPr>
        <w:pStyle w:val="Header"/>
        <w:tabs>
          <w:tab w:val="clear" w:pos="4320"/>
          <w:tab w:val="clear" w:pos="8640"/>
          <w:tab w:val="right" w:pos="3360" w:leader="none"/>
          <w:tab w:val="left" w:pos="3420" w:leader="none"/>
          <w:tab w:val="right" w:pos="9480" w:leader="none"/>
        </w:tabs>
        <w:ind w:hanging="3420" w:start="3420" w:end="0"/>
        <w:jc w:val="both"/>
        <w:rPr>
          <w:rFonts w:ascii="Arial" w:hAnsi="Arial" w:cs="Arial"/>
          <w:sz w:val="20"/>
        </w:rPr>
      </w:pPr>
      <w:r>
        <w:rPr>
          <w:rFonts w:cs="Arial" w:ascii="Arial" w:hAnsi="Arial"/>
          <w:sz w:val="20"/>
        </w:rPr>
      </w:r>
    </w:p>
    <w:p>
      <w:pPr>
        <w:pStyle w:val="Header"/>
        <w:tabs>
          <w:tab w:val="clear" w:pos="4320"/>
          <w:tab w:val="clear" w:pos="8640"/>
          <w:tab w:val="left" w:pos="360" w:leader="none"/>
        </w:tabs>
        <w:jc w:val="both"/>
        <w:rPr>
          <w:rFonts w:ascii="Arial" w:hAnsi="Arial" w:cs="Arial"/>
          <w:sz w:val="20"/>
        </w:rPr>
      </w:pPr>
      <w:r>
        <w:rPr>
          <w:rFonts w:cs="Arial" w:ascii="Arial" w:hAnsi="Arial"/>
          <w:sz w:val="20"/>
        </w:rPr>
        <w:t>(ii)</w:t>
        <w:tab/>
        <w:t>The following shall each constitute an Early Termination Event and shall collectively be referred to herein as “Optional Events”:</w:t>
      </w:r>
    </w:p>
    <w:p>
      <w:pPr>
        <w:pStyle w:val="Header"/>
        <w:tabs>
          <w:tab w:val="clear" w:pos="4320"/>
          <w:tab w:val="clear" w:pos="8640"/>
          <w:tab w:val="left" w:pos="720" w:leader="none"/>
        </w:tabs>
        <w:ind w:start="360" w:end="0"/>
        <w:jc w:val="both"/>
        <w:rPr>
          <w:rFonts w:ascii="Arial" w:hAnsi="Arial" w:cs="Arial"/>
          <w:sz w:val="20"/>
        </w:rPr>
      </w:pPr>
      <w:r>
        <w:rPr>
          <w:rFonts w:cs="Arial" w:ascii="Arial" w:hAnsi="Arial"/>
          <w:sz w:val="20"/>
        </w:rPr>
      </w:r>
    </w:p>
    <w:p>
      <w:pPr>
        <w:pStyle w:val="Header"/>
        <w:tabs>
          <w:tab w:val="clear" w:pos="4320"/>
          <w:tab w:val="clear" w:pos="8640"/>
          <w:tab w:val="left" w:pos="720" w:leader="none"/>
        </w:tabs>
        <w:ind w:start="360" w:end="0"/>
        <w:jc w:val="both"/>
        <w:rPr>
          <w:rFonts w:ascii="Arial" w:hAnsi="Arial" w:cs="Arial"/>
          <w:sz w:val="20"/>
        </w:rPr>
      </w:pPr>
      <w:r>
        <w:rPr>
          <w:rFonts w:cs="Arial" w:ascii="Arial" w:hAnsi="Arial"/>
          <w:sz w:val="20"/>
        </w:rPr>
        <w:t>(a)</w:t>
        <w:tab/>
        <w:t>Party B may exercise its right to terminate this Transaction on any Business Day during the Term of this Transaction by providing 5 Business Days notice to Party A of its irrevocable election to do so (a “Party B Termination”).  Such election may be made orally and confirmed in writing.</w:t>
      </w:r>
    </w:p>
    <w:p>
      <w:pPr>
        <w:pStyle w:val="Header"/>
        <w:tabs>
          <w:tab w:val="clear" w:pos="4320"/>
          <w:tab w:val="clear" w:pos="8640"/>
          <w:tab w:val="left" w:pos="720" w:leader="none"/>
        </w:tabs>
        <w:ind w:start="360" w:end="0"/>
        <w:jc w:val="both"/>
        <w:rPr>
          <w:rFonts w:ascii="Arial" w:hAnsi="Arial" w:cs="Arial"/>
          <w:sz w:val="20"/>
        </w:rPr>
      </w:pPr>
      <w:r>
        <w:rPr>
          <w:rFonts w:cs="Arial" w:ascii="Arial" w:hAnsi="Arial"/>
          <w:sz w:val="20"/>
        </w:rPr>
      </w:r>
    </w:p>
    <w:p>
      <w:pPr>
        <w:pStyle w:val="Header"/>
        <w:tabs>
          <w:tab w:val="clear" w:pos="4320"/>
          <w:tab w:val="clear" w:pos="8640"/>
          <w:tab w:val="left" w:pos="720" w:leader="none"/>
        </w:tabs>
        <w:ind w:start="360" w:end="0"/>
        <w:jc w:val="both"/>
        <w:rPr>
          <w:rFonts w:ascii="Arial" w:hAnsi="Arial" w:cs="Arial"/>
          <w:sz w:val="20"/>
        </w:rPr>
      </w:pPr>
      <w:r>
        <w:rPr>
          <w:rFonts w:cs="Arial" w:ascii="Arial" w:hAnsi="Arial"/>
          <w:sz w:val="20"/>
        </w:rPr>
        <w:t>(b)</w:t>
        <w:tab/>
        <w:t>Party A may exercise its right to terminate this Transaction on [3 months after Effective Date] and thereafter on any Valuation Date during the Term of this Transaction by providing 5 Business Days notice to Party A of its irrevocable election to do so (a “Party A Termination”).  Such election may be made orally and confirmed in writing.</w:t>
      </w:r>
    </w:p>
    <w:p>
      <w:pPr>
        <w:pStyle w:val="Header"/>
        <w:tabs>
          <w:tab w:val="clear" w:pos="4320"/>
          <w:tab w:val="clear" w:pos="8640"/>
          <w:tab w:val="left" w:pos="720" w:leader="none"/>
        </w:tabs>
        <w:ind w:start="360" w:end="0"/>
        <w:jc w:val="both"/>
        <w:rPr>
          <w:rFonts w:ascii="Arial" w:hAnsi="Arial" w:cs="Arial"/>
          <w:sz w:val="20"/>
        </w:rPr>
      </w:pPr>
      <w:r>
        <w:rPr>
          <w:rFonts w:cs="Arial" w:ascii="Arial" w:hAnsi="Arial"/>
          <w:sz w:val="20"/>
        </w:rPr>
      </w:r>
    </w:p>
    <w:p>
      <w:pPr>
        <w:pStyle w:val="BodyText3"/>
        <w:tabs>
          <w:tab w:val="left" w:pos="360" w:leader="none"/>
          <w:tab w:val="left" w:pos="720" w:leader="none"/>
          <w:tab w:val="left" w:pos="2880" w:leader="none"/>
          <w:tab w:val="left" w:pos="9480" w:leader="none"/>
        </w:tabs>
        <w:spacing w:before="0" w:after="0"/>
        <w:rPr>
          <w:rFonts w:ascii="Arial" w:hAnsi="Arial" w:cs="Arial"/>
        </w:rPr>
      </w:pPr>
      <w:r>
        <w:rPr>
          <w:rFonts w:cs="Arial" w:ascii="Arial" w:hAnsi="Arial"/>
        </w:rPr>
        <w:t>(iii)</w:t>
        <w:tab/>
        <w:t>If an Early Termination Event occurs, the Early Termination Date will be the third Business Day following receipt of the notice of such event by the Calculation Agent.</w:t>
      </w:r>
    </w:p>
    <w:p>
      <w:pPr>
        <w:pStyle w:val="Normal"/>
        <w:tabs>
          <w:tab w:val="left" w:pos="720" w:leader="none"/>
          <w:tab w:val="left" w:pos="2880" w:leader="none"/>
          <w:tab w:val="left" w:pos="9480" w:leader="none"/>
        </w:tabs>
        <w:jc w:val="both"/>
        <w:rPr>
          <w:rFonts w:ascii="Arial" w:hAnsi="Arial" w:cs="Arial"/>
        </w:rPr>
      </w:pPr>
      <w:r>
        <w:rPr>
          <w:rFonts w:cs="Arial" w:ascii="Arial" w:hAnsi="Arial"/>
        </w:rPr>
      </w:r>
    </w:p>
    <w:p>
      <w:pPr>
        <w:pStyle w:val="BodyText3"/>
        <w:tabs>
          <w:tab w:val="left" w:pos="360" w:leader="none"/>
          <w:tab w:val="left" w:pos="2880" w:leader="none"/>
          <w:tab w:val="left" w:pos="9480" w:leader="none"/>
        </w:tabs>
        <w:spacing w:before="0" w:after="0"/>
        <w:rPr>
          <w:rFonts w:ascii="Arial" w:hAnsi="Arial" w:cs="Arial"/>
        </w:rPr>
      </w:pPr>
      <w:r>
        <w:rPr>
          <w:rFonts w:cs="Arial" w:ascii="Arial" w:hAnsi="Arial"/>
        </w:rPr>
        <w:t>(iv)</w:t>
        <w:tab/>
        <w:t>On the Early Termination Date and notwithstanding any provisions of Section 6 of the Agreement to the contrary, the following payment will be made in settlement of the Transaction:</w:t>
      </w:r>
    </w:p>
    <w:p>
      <w:pPr>
        <w:pStyle w:val="Normal"/>
        <w:tabs>
          <w:tab w:val="left" w:pos="720" w:leader="none"/>
          <w:tab w:val="left" w:pos="2880" w:leader="none"/>
          <w:tab w:val="left" w:pos="9480" w:leader="none"/>
        </w:tabs>
        <w:jc w:val="both"/>
        <w:rPr>
          <w:rFonts w:ascii="Arial" w:hAnsi="Arial" w:cs="Arial"/>
        </w:rPr>
      </w:pPr>
      <w:r>
        <w:rPr>
          <w:rFonts w:cs="Arial" w:ascii="Arial" w:hAnsi="Arial"/>
        </w:rPr>
      </w:r>
    </w:p>
    <w:p>
      <w:pPr>
        <w:pStyle w:val="BodyText3"/>
        <w:tabs>
          <w:tab w:val="clear" w:pos="2880"/>
          <w:tab w:val="left" w:pos="360" w:leader="none"/>
          <w:tab w:val="left" w:pos="720" w:leader="none"/>
          <w:tab w:val="left" w:pos="9480" w:leader="none"/>
        </w:tabs>
        <w:spacing w:before="0" w:after="0"/>
        <w:ind w:start="360" w:end="0"/>
        <w:rPr>
          <w:rFonts w:ascii="Arial" w:hAnsi="Arial" w:cs="Arial"/>
        </w:rPr>
      </w:pPr>
      <w:r>
        <w:rPr>
          <w:rFonts w:cs="Arial" w:ascii="Arial" w:hAnsi="Arial"/>
        </w:rPr>
        <w:t>(a)</w:t>
        <w:tab/>
        <w:t>Party A shall pay the Fixed Amount to Party B on the Termination Date, only to the extent that any [principal or] interest payments are received by Party A from the Issuer and not yet paid to Party B prior to the Early Termination Date;</w:t>
      </w:r>
    </w:p>
    <w:p>
      <w:pPr>
        <w:pStyle w:val="BodyText3"/>
        <w:tabs>
          <w:tab w:val="clear" w:pos="2880"/>
          <w:tab w:val="left" w:pos="360" w:leader="none"/>
          <w:tab w:val="left" w:pos="720" w:leader="none"/>
          <w:tab w:val="left" w:pos="9480" w:leader="none"/>
        </w:tabs>
        <w:spacing w:before="0" w:after="0"/>
        <w:ind w:start="360" w:end="0"/>
        <w:rPr>
          <w:rFonts w:ascii="Arial" w:hAnsi="Arial" w:cs="Arial"/>
        </w:rPr>
      </w:pPr>
      <w:r>
        <w:rPr>
          <w:rFonts w:cs="Arial" w:ascii="Arial" w:hAnsi="Arial"/>
        </w:rPr>
      </w:r>
    </w:p>
    <w:p>
      <w:pPr>
        <w:pStyle w:val="Normal"/>
        <w:tabs>
          <w:tab w:val="left" w:pos="360" w:leader="none"/>
          <w:tab w:val="left" w:pos="720" w:leader="none"/>
          <w:tab w:val="left" w:pos="9480" w:leader="none"/>
        </w:tabs>
        <w:ind w:start="360" w:end="0"/>
        <w:jc w:val="both"/>
        <w:rPr>
          <w:rFonts w:ascii="Arial" w:hAnsi="Arial" w:cs="Arial"/>
        </w:rPr>
      </w:pPr>
      <w:r>
        <w:rPr>
          <w:rFonts w:cs="Arial" w:ascii="Arial" w:hAnsi="Arial"/>
        </w:rPr>
        <w:t>(b)</w:t>
        <w:tab/>
        <w:t>Party B shall pay the Floating Amount to Party A on the Early Termination Date, calculated as if the Early Termination Date was a Floating Rate Payer Payment Date; and</w:t>
      </w:r>
    </w:p>
    <w:p>
      <w:pPr>
        <w:pStyle w:val="Normal"/>
        <w:tabs>
          <w:tab w:val="left" w:pos="360" w:leader="none"/>
          <w:tab w:val="left" w:pos="720" w:leader="none"/>
          <w:tab w:val="left" w:pos="9480" w:leader="none"/>
        </w:tabs>
        <w:ind w:start="360" w:end="0"/>
        <w:jc w:val="both"/>
        <w:rPr>
          <w:rFonts w:ascii="Arial" w:hAnsi="Arial" w:cs="Arial"/>
        </w:rPr>
      </w:pPr>
      <w:r>
        <w:rPr>
          <w:rFonts w:cs="Arial" w:ascii="Arial" w:hAnsi="Arial"/>
        </w:rPr>
      </w:r>
    </w:p>
    <w:p>
      <w:pPr>
        <w:pStyle w:val="Normal"/>
        <w:tabs>
          <w:tab w:val="left" w:pos="360" w:leader="none"/>
          <w:tab w:val="left" w:pos="720" w:leader="none"/>
          <w:tab w:val="left" w:pos="9480" w:leader="none"/>
        </w:tabs>
        <w:ind w:start="360" w:end="0"/>
        <w:jc w:val="both"/>
        <w:rPr>
          <w:rFonts w:ascii="Arial" w:hAnsi="Arial" w:cs="Arial"/>
        </w:rPr>
      </w:pPr>
      <w:r>
        <w:rPr>
          <w:rFonts w:cs="Arial" w:ascii="Arial" w:hAnsi="Arial"/>
        </w:rPr>
        <w:t>(c)</w:t>
        <w:tab/>
        <w:t>The Calculation Agent shall determine the Total Return Amount as if the Early Termination Date was a Total Return Payment Date and the Total Return Payer shall pay such amount to the other party on the Early Termination Date.</w:t>
      </w:r>
    </w:p>
    <w:p>
      <w:pPr>
        <w:pStyle w:val="Normal"/>
        <w:tabs>
          <w:tab w:val="clear" w:pos="720"/>
          <w:tab w:val="left" w:pos="3360" w:leader="none"/>
          <w:tab w:val="left" w:pos="3420" w:leader="none"/>
          <w:tab w:val="left" w:pos="9480" w:leader="none"/>
        </w:tabs>
        <w:ind w:hanging="3420" w:start="3420" w:end="0"/>
        <w:jc w:val="both"/>
        <w:rPr>
          <w:rFonts w:ascii="Arial" w:hAnsi="Arial" w:cs="Arial"/>
        </w:rPr>
      </w:pPr>
      <w:r>
        <w:rPr>
          <w:rFonts w:cs="Arial" w:ascii="Arial" w:hAnsi="Arial"/>
        </w:rPr>
      </w:r>
    </w:p>
    <w:p>
      <w:pPr>
        <w:pStyle w:val="Normal"/>
        <w:jc w:val="both"/>
        <w:rPr/>
      </w:pPr>
      <w:r>
        <w:rPr>
          <w:rFonts w:cs="Arial" w:ascii="Arial" w:hAnsi="Arial"/>
        </w:rPr>
        <w:t xml:space="preserve">In addition, with respect to a </w:t>
      </w:r>
      <w:r>
        <w:rPr>
          <w:rFonts w:cs="Arial" w:ascii="Arial" w:hAnsi="Arial"/>
          <w:u w:val="single"/>
        </w:rPr>
        <w:t>Party B Termination only</w:t>
      </w:r>
      <w:r>
        <w:rPr>
          <w:rFonts w:cs="Arial" w:ascii="Arial" w:hAnsi="Arial"/>
        </w:rPr>
        <w:t>, Party B will pay the Breakage Amount to Party A on the Termination Date.</w:t>
      </w:r>
    </w:p>
    <w:p>
      <w:pPr>
        <w:pStyle w:val="Normal"/>
        <w:tabs>
          <w:tab w:val="clear" w:pos="720"/>
          <w:tab w:val="left" w:pos="3360" w:leader="none"/>
          <w:tab w:val="left" w:pos="3420" w:leader="none"/>
          <w:tab w:val="left" w:pos="9480" w:leader="none"/>
        </w:tabs>
        <w:ind w:hanging="3420" w:start="3420" w:end="0"/>
        <w:jc w:val="both"/>
        <w:rPr>
          <w:rFonts w:ascii="Arial" w:hAnsi="Arial" w:cs="Arial"/>
        </w:rPr>
      </w:pPr>
      <w:r>
        <w:rPr>
          <w:rFonts w:cs="Arial" w:ascii="Arial" w:hAnsi="Arial"/>
        </w:rPr>
      </w:r>
    </w:p>
    <w:p>
      <w:pPr>
        <w:pStyle w:val="Normal"/>
        <w:tabs>
          <w:tab w:val="clear" w:pos="720"/>
          <w:tab w:val="left" w:pos="3360" w:leader="none"/>
          <w:tab w:val="left" w:pos="3420" w:leader="none"/>
          <w:tab w:val="left" w:pos="9480" w:leader="none"/>
        </w:tabs>
        <w:ind w:hanging="3420" w:start="3420" w:end="0"/>
        <w:jc w:val="both"/>
        <w:rPr>
          <w:rFonts w:ascii="Arial" w:hAnsi="Arial" w:cs="Arial"/>
          <w:b/>
          <w:u w:val="single"/>
        </w:rPr>
      </w:pPr>
      <w:r>
        <w:rPr>
          <w:rFonts w:cs="Arial" w:ascii="Arial" w:hAnsi="Arial"/>
          <w:b/>
          <w:u w:val="single"/>
        </w:rPr>
        <w:t>Definitions:</w:t>
      </w:r>
    </w:p>
    <w:p>
      <w:pPr>
        <w:pStyle w:val="Normal"/>
        <w:tabs>
          <w:tab w:val="clear" w:pos="720"/>
          <w:tab w:val="left" w:pos="3360" w:leader="none"/>
          <w:tab w:val="left" w:pos="3420" w:leader="none"/>
          <w:tab w:val="left" w:pos="9480" w:leader="none"/>
        </w:tabs>
        <w:ind w:hanging="3420" w:start="3420" w:end="0"/>
        <w:jc w:val="both"/>
        <w:rPr>
          <w:rFonts w:ascii="Arial" w:hAnsi="Arial" w:cs="Arial"/>
          <w:b/>
          <w:u w:val="single"/>
        </w:rPr>
      </w:pPr>
      <w:r>
        <w:rPr>
          <w:rFonts w:cs="Arial" w:ascii="Arial" w:hAnsi="Arial"/>
          <w:b/>
          <w:u w:val="single"/>
        </w:rPr>
      </w:r>
    </w:p>
    <w:p>
      <w:pPr>
        <w:pStyle w:val="BodyText3"/>
        <w:tabs>
          <w:tab w:val="clear" w:pos="2880"/>
          <w:tab w:val="clear" w:pos="9480"/>
        </w:tabs>
        <w:spacing w:before="0" w:after="0"/>
        <w:rPr>
          <w:rFonts w:ascii="Arial" w:hAnsi="Arial" w:cs="Arial"/>
        </w:rPr>
      </w:pPr>
      <w:r>
        <w:rPr>
          <w:rFonts w:cs="Arial" w:ascii="Arial" w:hAnsi="Arial"/>
        </w:rPr>
        <w:t>“</w:t>
      </w:r>
      <w:r>
        <w:rPr>
          <w:rFonts w:cs="Arial" w:ascii="Arial" w:hAnsi="Arial"/>
        </w:rPr>
        <w:t>Breakage Amount” means the sum of the LIBOR Break Amount and the Spread Break Amount.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Breakage Days” means the actual number of days from and including the Notice Date to but excluding the day that, but for the occurrence of the unwind, would have been the next Floating Rate Payer Period End Date.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Breakage LIBOR” means a rate of interest, as determined by the Calculation Agent, equal to USD-LIBOR-BBA as of the Notice Date with a term equal to the period between, and including, the Notice Date to, but excluding, the day that, but for the occurrence of the unwind, would have been the next Floating Rate Payer Period End Date (such rate may be interpolated by the Calculation Agent in its sole discretion in the event such period does not correspond to a standard maturity set forth in the published sources).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Calculation LIBOR” means the Floating Rate (excluding Spread) as determined for the Calculation Period during which the Early Termination Date occurs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LIBOR Break Amount” means an amount calculated as follows: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Calculation Amount x (Calculation LIBOR - Breakage LIBOR) x (Breakage Days/360)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Notice Date” means, the day the Calculation Agent receives notice that an Early Termination Event has occurred.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Spread Days” means the actual number of days from and including the Notice Date to but excluding [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Spread Break Amount” means an amount calculated as follows: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Calculation Amount x Spread x Spread Days/360</w:t>
      </w:r>
    </w:p>
    <w:p>
      <w:pPr>
        <w:pStyle w:val="Normal"/>
        <w:jc w:val="both"/>
        <w:rPr>
          <w:rFonts w:ascii="Arial" w:hAnsi="Arial" w:cs="Arial"/>
        </w:rPr>
      </w:pPr>
      <w:r>
        <w:rPr>
          <w:rFonts w:cs="Arial" w:ascii="Arial" w:hAnsi="Arial"/>
        </w:rPr>
      </w:r>
    </w:p>
    <w:p>
      <w:pPr>
        <w:pStyle w:val="Normal"/>
        <w:tabs>
          <w:tab w:val="clear" w:pos="720"/>
          <w:tab w:val="left" w:pos="3360" w:leader="none"/>
          <w:tab w:val="left" w:pos="3420" w:leader="none"/>
          <w:tab w:val="left" w:pos="9480" w:leader="none"/>
        </w:tabs>
        <w:ind w:hanging="3420" w:start="3420" w:end="0"/>
        <w:jc w:val="both"/>
        <w:rPr>
          <w:rFonts w:ascii="Arial" w:hAnsi="Arial" w:cs="Arial"/>
          <w:b/>
          <w:u w:val="single"/>
        </w:rPr>
      </w:pPr>
      <w:r>
        <w:rPr>
          <w:rFonts w:cs="Arial" w:ascii="Arial" w:hAnsi="Arial"/>
          <w:b/>
          <w:u w:val="single"/>
        </w:rPr>
        <w:t>Representations:</w:t>
      </w:r>
    </w:p>
    <w:p>
      <w:pPr>
        <w:pStyle w:val="Normal"/>
        <w:jc w:val="both"/>
        <w:rPr>
          <w:rFonts w:ascii="Arial" w:hAnsi="Arial" w:cs="Arial"/>
          <w:b/>
          <w:u w:val="single"/>
        </w:rPr>
      </w:pPr>
      <w:r>
        <w:rPr>
          <w:rFonts w:cs="Arial" w:ascii="Arial" w:hAnsi="Arial"/>
          <w:b/>
          <w:u w:val="single"/>
        </w:rPr>
      </w:r>
    </w:p>
    <w:p>
      <w:pPr>
        <w:pStyle w:val="Normal"/>
        <w:tabs>
          <w:tab w:val="clear" w:pos="720"/>
          <w:tab w:val="left" w:pos="0" w:leader="none"/>
          <w:tab w:val="left" w:pos="360" w:leader="none"/>
        </w:tabs>
        <w:jc w:val="both"/>
        <w:rPr>
          <w:rFonts w:ascii="Arial" w:hAnsi="Arial" w:cs="Arial"/>
        </w:rPr>
      </w:pPr>
      <w:r>
        <w:rPr>
          <w:rFonts w:cs="Arial" w:ascii="Arial" w:hAnsi="Arial"/>
        </w:rPr>
        <w:t>(i)</w:t>
        <w:tab/>
        <w:t>Party B hereby represents that it is a Qualified Institutional Buyer as defined in Rule 144A under the U.S. Securities Act of 1933.</w:t>
      </w:r>
    </w:p>
    <w:p>
      <w:pPr>
        <w:pStyle w:val="Normal"/>
        <w:jc w:val="both"/>
        <w:rPr>
          <w:rFonts w:ascii="Arial" w:hAnsi="Arial" w:cs="Arial"/>
        </w:rPr>
      </w:pPr>
      <w:r>
        <w:rPr>
          <w:rFonts w:cs="Arial" w:ascii="Arial" w:hAnsi="Arial"/>
        </w:rPr>
      </w:r>
    </w:p>
    <w:p>
      <w:pPr>
        <w:pStyle w:val="BodyText3"/>
        <w:tabs>
          <w:tab w:val="clear" w:pos="2880"/>
          <w:tab w:val="clear" w:pos="9480"/>
          <w:tab w:val="left" w:pos="360" w:leader="none"/>
        </w:tabs>
        <w:spacing w:before="0" w:after="0"/>
        <w:rPr>
          <w:rFonts w:ascii="Arial" w:hAnsi="Arial" w:cs="Arial"/>
        </w:rPr>
      </w:pPr>
      <w:r>
        <w:rPr>
          <w:rFonts w:cs="Arial" w:ascii="Arial" w:hAnsi="Arial"/>
        </w:rPr>
        <w:t>(ii)</w:t>
        <w:tab/>
        <w:t>Each party will be deemed to represent to the other party on the date on which it enters into this Transaction that (absent a written agreement between the parties that expressly imposes affirmative obligations to the contrary for that Transaction):</w:t>
      </w:r>
    </w:p>
    <w:p>
      <w:pPr>
        <w:pStyle w:val="Normal"/>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(a)  Non-Reliance.  It is acting for its own account, and it has made its own independent decisions to enter into this Transaction and as to whether this Transaction is appropriate or proper for it based upon its own judgement and upon advice from such advisers as it has deemed necessary.  It is not relying on any communication (written or oral) received from the other party nor shall it be deemed to be an assurance or guarantee as to the expected results of this Transaction.</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(b)  Assessment and Understanding.  It is capable of assessing the merits of and understanding (on its own behalf or through independent professional advice), and understands and accepts, the terms, conditions and risks of this Transaction.  It is also capable of assuming, and assumes, the risks of this Transaction.</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(c)  Status of Parties.  The other party is not acting as a fiduciary for or an adviser to it in respect of this Transaction.</w:t>
      </w:r>
    </w:p>
    <w:p>
      <w:pPr>
        <w:pStyle w:val="Normal"/>
        <w:jc w:val="both"/>
        <w:rPr>
          <w:rFonts w:ascii="Arial" w:hAnsi="Arial" w:cs="Arial"/>
        </w:rPr>
      </w:pPr>
      <w:r>
        <w:rPr>
          <w:rFonts w:cs="Arial" w:ascii="Arial" w:hAnsi="Arial"/>
        </w:rPr>
      </w:r>
    </w:p>
    <w:p>
      <w:pPr>
        <w:pStyle w:val="Normal"/>
        <w:tabs>
          <w:tab w:val="clear" w:pos="720"/>
          <w:tab w:val="left" w:pos="1620" w:leader="none"/>
        </w:tabs>
        <w:rPr>
          <w:rFonts w:ascii="Arial" w:hAnsi="Arial" w:cs="Arial"/>
        </w:rPr>
      </w:pPr>
      <w:r>
        <w:rPr>
          <w:rFonts w:cs="Arial" w:ascii="Arial" w:hAnsi="Arial"/>
        </w:rPr>
        <w:t>Please confirm that the foregoing correctly sets forth the terms of our agreement by executing this Confirmation, which sets forth the terms of the Transaction (our Reference _________ ) and returning it to:</w:t>
      </w:r>
    </w:p>
    <w:p>
      <w:pPr>
        <w:pStyle w:val="Normal"/>
        <w:tabs>
          <w:tab w:val="clear" w:pos="720"/>
          <w:tab w:val="left" w:pos="1620" w:leader="none"/>
        </w:tabs>
        <w:rPr>
          <w:rFonts w:ascii="Arial" w:hAnsi="Arial" w:cs="Arial"/>
        </w:rPr>
      </w:pPr>
      <w:r>
        <w:rPr>
          <w:rFonts w:cs="Arial" w:ascii="Arial" w:hAnsi="Arial"/>
        </w:rPr>
      </w:r>
    </w:p>
    <w:p>
      <w:pPr>
        <w:pStyle w:val="Normal"/>
        <w:tabs>
          <w:tab w:val="clear" w:pos="720"/>
          <w:tab w:val="left" w:pos="1620" w:leader="none"/>
        </w:tabs>
        <w:ind w:start="3240" w:end="0"/>
        <w:jc w:val="both"/>
        <w:rPr>
          <w:rFonts w:ascii="Arial" w:hAnsi="Arial" w:cs="Arial"/>
          <w:color w:val="000000"/>
        </w:rPr>
      </w:pPr>
      <w:r>
        <w:rPr>
          <w:rFonts w:cs="Arial" w:ascii="Arial" w:hAnsi="Arial"/>
          <w:color w:val="000000"/>
        </w:rPr>
        <w:t>DOCUMENTATION GROUP</w:t>
      </w:r>
    </w:p>
    <w:p>
      <w:pPr>
        <w:pStyle w:val="Normal"/>
        <w:tabs>
          <w:tab w:val="clear" w:pos="720"/>
          <w:tab w:val="left" w:pos="1620" w:leader="none"/>
        </w:tabs>
        <w:ind w:start="3240" w:end="0"/>
        <w:jc w:val="both"/>
        <w:rPr>
          <w:rFonts w:ascii="Arial" w:hAnsi="Arial" w:cs="Arial"/>
          <w:color w:val="000000"/>
        </w:rPr>
      </w:pPr>
      <w:r>
        <w:rPr>
          <w:rFonts w:cs="Arial" w:ascii="Arial" w:hAnsi="Arial"/>
          <w:color w:val="000000"/>
        </w:rPr>
        <w:t xml:space="preserve">Fax: 212-892-8681 </w:t>
      </w:r>
    </w:p>
    <w:p>
      <w:pPr>
        <w:pStyle w:val="Normal"/>
        <w:tabs>
          <w:tab w:val="clear" w:pos="720"/>
          <w:tab w:val="left" w:pos="1620" w:leader="none"/>
        </w:tabs>
        <w:ind w:start="3240" w:end="0"/>
        <w:jc w:val="both"/>
        <w:rPr>
          <w:rFonts w:ascii="Arial" w:hAnsi="Arial" w:cs="Arial"/>
          <w:color w:val="000000"/>
        </w:rPr>
      </w:pPr>
      <w:r>
        <w:rPr>
          <w:rFonts w:cs="Arial" w:ascii="Arial" w:hAnsi="Arial"/>
          <w:color w:val="000000"/>
        </w:rPr>
        <w:t>Tel:  212-892-2167</w:t>
      </w:r>
    </w:p>
    <w:p>
      <w:pPr>
        <w:pStyle w:val="BodyText2"/>
        <w:ind w:start="0" w:end="360"/>
        <w:rPr>
          <w:rFonts w:ascii="Arial" w:hAnsi="Arial" w:cs="Arial"/>
          <w:color w:val="000000"/>
        </w:rPr>
      </w:pPr>
      <w:r>
        <w:rPr>
          <w:rFonts w:cs="Arial" w:ascii="Arial" w:hAnsi="Arial"/>
          <w:color w:val="000000"/>
        </w:rPr>
      </w:r>
    </w:p>
    <w:p>
      <w:pPr>
        <w:pStyle w:val="BodyText2"/>
        <w:tabs>
          <w:tab w:val="clear" w:pos="720"/>
          <w:tab w:val="left" w:pos="4680" w:leader="none"/>
        </w:tabs>
        <w:ind w:start="0" w:end="360"/>
        <w:rPr>
          <w:rFonts w:ascii="Arial" w:hAnsi="Arial" w:cs="Arial"/>
        </w:rPr>
      </w:pPr>
      <w:r>
        <w:rPr>
          <w:rFonts w:cs="Arial" w:ascii="Arial" w:hAnsi="Arial"/>
        </w:rPr>
        <w:t>We are happy to have completed this transaction with you.</w:t>
      </w:r>
    </w:p>
    <w:p>
      <w:pPr>
        <w:pStyle w:val="BodyText2"/>
        <w:tabs>
          <w:tab w:val="clear" w:pos="720"/>
          <w:tab w:val="left" w:pos="4680" w:leader="none"/>
        </w:tabs>
        <w:ind w:start="0" w:end="360"/>
        <w:rPr>
          <w:rFonts w:ascii="Arial" w:hAnsi="Arial" w:cs="Arial"/>
        </w:rPr>
      </w:pPr>
      <w:r>
        <w:rPr>
          <w:rFonts w:cs="Arial" w:ascii="Arial" w:hAnsi="Arial"/>
        </w:rPr>
      </w:r>
    </w:p>
    <w:p>
      <w:pPr>
        <w:pStyle w:val="BodyText2"/>
        <w:tabs>
          <w:tab w:val="clear" w:pos="720"/>
          <w:tab w:val="left" w:pos="4680" w:leader="none"/>
        </w:tabs>
        <w:ind w:start="0" w:end="360"/>
        <w:rPr>
          <w:rFonts w:ascii="Arial" w:hAnsi="Arial" w:cs="Arial"/>
        </w:rPr>
      </w:pPr>
      <w:r>
        <w:rPr>
          <w:rFonts w:cs="Arial" w:ascii="Arial" w:hAnsi="Arial"/>
        </w:rPr>
        <w:t>Yours sincerely,</w:t>
        <w:tab/>
        <w:t>Confirmed as of the Trade Date:</w:t>
      </w:r>
    </w:p>
    <w:p>
      <w:pPr>
        <w:pStyle w:val="BodyText2"/>
        <w:tabs>
          <w:tab w:val="clear" w:pos="720"/>
          <w:tab w:val="left" w:pos="4680" w:leader="none"/>
        </w:tabs>
        <w:ind w:start="0" w:end="360"/>
        <w:rPr>
          <w:rFonts w:ascii="Arial" w:hAnsi="Arial" w:cs="Arial"/>
        </w:rPr>
      </w:pPr>
      <w:r>
        <w:rPr>
          <w:rFonts w:cs="Arial" w:ascii="Arial" w:hAnsi="Arial"/>
        </w:rPr>
      </w:r>
    </w:p>
    <w:p>
      <w:pPr>
        <w:pStyle w:val="BodyText2"/>
        <w:tabs>
          <w:tab w:val="clear" w:pos="720"/>
          <w:tab w:val="left" w:pos="4680" w:leader="none"/>
        </w:tabs>
        <w:ind w:start="0" w:end="360"/>
        <w:rPr>
          <w:rFonts w:ascii="Arial" w:hAnsi="Arial" w:cs="Arial"/>
          <w:b/>
          <w:caps/>
        </w:rPr>
      </w:pPr>
      <w:r>
        <w:rPr>
          <w:rFonts w:cs="Arial" w:ascii="Arial" w:hAnsi="Arial"/>
          <w:caps/>
        </w:rPr>
        <w:t>DONALDSON, LUFKIN, &amp; JENRETTE</w:t>
        <w:tab/>
        <w:t>[Counterparty]</w:t>
      </w:r>
    </w:p>
    <w:p>
      <w:pPr>
        <w:pStyle w:val="BodyText2"/>
        <w:tabs>
          <w:tab w:val="clear" w:pos="720"/>
          <w:tab w:val="left" w:pos="4680" w:leader="none"/>
        </w:tabs>
        <w:ind w:firstLine="180" w:start="0" w:end="360"/>
        <w:rPr>
          <w:rFonts w:ascii="Arial" w:hAnsi="Arial" w:cs="Arial"/>
          <w:caps/>
          <w:color w:val="000000"/>
        </w:rPr>
      </w:pPr>
      <w:r>
        <w:rPr>
          <w:rFonts w:cs="Arial" w:ascii="Arial" w:hAnsi="Arial"/>
          <w:caps/>
          <w:color w:val="000000"/>
        </w:rPr>
        <w:t xml:space="preserve">SECURITIES CORPORATION </w:t>
      </w:r>
      <w:r>
        <w:rPr>
          <w:rFonts w:cs="Arial" w:ascii="Arial" w:hAnsi="Arial"/>
          <w:color w:val="000000"/>
        </w:rPr>
        <w:t>as agent for</w:t>
      </w:r>
    </w:p>
    <w:p>
      <w:pPr>
        <w:pStyle w:val="Header"/>
        <w:tabs>
          <w:tab w:val="clear" w:pos="4320"/>
          <w:tab w:val="clear" w:pos="8640"/>
        </w:tabs>
        <w:jc w:val="both"/>
        <w:rPr>
          <w:rFonts w:ascii="Arial" w:hAnsi="Arial" w:cs="Arial"/>
          <w:b/>
          <w:color w:val="000000"/>
          <w:sz w:val="20"/>
        </w:rPr>
      </w:pPr>
      <w:r>
        <w:rPr>
          <w:rFonts w:cs="Arial" w:ascii="Arial" w:hAnsi="Arial"/>
          <w:b/>
          <w:caps/>
          <w:color w:val="000000"/>
          <w:sz w:val="20"/>
        </w:rPr>
        <w:t>DLJ International Capital</w:t>
      </w:r>
    </w:p>
    <w:p>
      <w:pPr>
        <w:pStyle w:val="Header"/>
        <w:tabs>
          <w:tab w:val="clear" w:pos="4320"/>
          <w:tab w:val="clear" w:pos="8640"/>
        </w:tabs>
        <w:rPr>
          <w:rFonts w:ascii="Arial" w:hAnsi="Arial" w:cs="Arial"/>
          <w:b/>
          <w:color w:val="000000"/>
          <w:sz w:val="20"/>
        </w:rPr>
      </w:pPr>
      <w:r>
        <w:rPr>
          <w:rFonts w:cs="Arial" w:ascii="Arial" w:hAnsi="Arial"/>
          <w:b/>
          <w:color w:val="000000"/>
          <w:sz w:val="20"/>
        </w:rPr>
      </w:r>
    </w:p>
    <w:p>
      <w:pPr>
        <w:pStyle w:val="BodyText2"/>
        <w:tabs>
          <w:tab w:val="clear" w:pos="720"/>
          <w:tab w:val="left" w:pos="4680" w:leader="none"/>
        </w:tabs>
        <w:ind w:start="0" w:end="360"/>
        <w:rPr>
          <w:rFonts w:ascii="Arial" w:hAnsi="Arial" w:cs="Arial"/>
          <w:sz w:val="20"/>
        </w:rPr>
      </w:pPr>
      <w:r>
        <w:rPr>
          <w:rFonts w:cs="Arial" w:ascii="Arial" w:hAnsi="Arial"/>
          <w:sz w:val="20"/>
        </w:rPr>
      </w:r>
    </w:p>
    <w:p>
      <w:pPr>
        <w:pStyle w:val="BodyText2"/>
        <w:tabs>
          <w:tab w:val="clear" w:pos="720"/>
          <w:tab w:val="left" w:pos="4680" w:leader="none"/>
        </w:tabs>
        <w:ind w:start="0" w:end="360"/>
        <w:rPr>
          <w:rFonts w:ascii="Arial" w:hAnsi="Arial" w:cs="Arial"/>
        </w:rPr>
      </w:pPr>
      <w:r>
        <w:rPr>
          <w:rFonts w:cs="Arial" w:ascii="Arial" w:hAnsi="Arial"/>
        </w:rPr>
      </w:r>
    </w:p>
    <w:p>
      <w:pPr>
        <w:pStyle w:val="BodyText2"/>
        <w:tabs>
          <w:tab w:val="clear" w:pos="720"/>
          <w:tab w:val="left" w:pos="360" w:leader="none"/>
          <w:tab w:val="left" w:pos="4680" w:leader="none"/>
        </w:tabs>
        <w:ind w:start="0" w:end="360"/>
        <w:rPr>
          <w:rFonts w:ascii="Arial" w:hAnsi="Arial" w:cs="Arial"/>
        </w:rPr>
      </w:pPr>
      <w:r>
        <w:rPr>
          <w:rFonts w:cs="Arial" w:ascii="Arial" w:hAnsi="Arial"/>
        </w:rPr>
        <w:t>By:</w:t>
        <w:tab/>
        <w:t>___________________________</w:t>
        <w:tab/>
        <w:t>By:</w:t>
        <w:tab/>
        <w:t>________________________________</w:t>
      </w:r>
    </w:p>
    <w:p>
      <w:pPr>
        <w:pStyle w:val="BodyText2"/>
        <w:tabs>
          <w:tab w:val="clear" w:pos="720"/>
          <w:tab w:val="left" w:pos="5040" w:leader="none"/>
        </w:tabs>
        <w:ind w:firstLine="360" w:start="0" w:end="360"/>
        <w:rPr>
          <w:rFonts w:ascii="Arial" w:hAnsi="Arial" w:cs="Arial"/>
        </w:rPr>
      </w:pPr>
      <w:r>
        <w:rPr>
          <w:rFonts w:cs="Arial" w:ascii="Arial" w:hAnsi="Arial"/>
        </w:rPr>
        <w:t>Name:</w:t>
        <w:tab/>
        <w:t>Name:</w:t>
      </w:r>
    </w:p>
    <w:p>
      <w:pPr>
        <w:pStyle w:val="BodyText2"/>
        <w:tabs>
          <w:tab w:val="clear" w:pos="720"/>
          <w:tab w:val="left" w:pos="5040" w:leader="none"/>
        </w:tabs>
        <w:ind w:firstLine="360" w:start="0" w:end="360"/>
        <w:rPr>
          <w:rFonts w:ascii="Arial" w:hAnsi="Arial" w:cs="Arial"/>
        </w:rPr>
      </w:pPr>
      <w:r>
        <w:rPr>
          <w:rFonts w:cs="Arial" w:ascii="Arial" w:hAnsi="Arial"/>
        </w:rPr>
        <w:t xml:space="preserve">Title: </w:t>
        <w:tab/>
        <w:t>Title:</w:t>
      </w:r>
    </w:p>
    <w:p>
      <w:pPr>
        <w:pStyle w:val="BodyText2"/>
        <w:tabs>
          <w:tab w:val="clear" w:pos="720"/>
          <w:tab w:val="left" w:pos="5040" w:leader="none"/>
        </w:tabs>
        <w:ind w:firstLine="360" w:start="0" w:end="360"/>
        <w:rPr>
          <w:rFonts w:ascii="Arial" w:hAnsi="Arial" w:cs="Arial"/>
        </w:rPr>
      </w:pPr>
      <w:r>
        <w:rPr>
          <w:rFonts w:cs="Arial" w:ascii="Arial" w:hAnsi="Arial"/>
        </w:rPr>
        <w:t xml:space="preserve">Date: </w:t>
        <w:tab/>
        <w:t>Date:</w:t>
      </w:r>
    </w:p>
    <w:p>
      <w:pPr>
        <w:pStyle w:val="BodyText2"/>
        <w:tabs>
          <w:tab w:val="clear" w:pos="720"/>
          <w:tab w:val="left" w:pos="4680" w:leader="none"/>
        </w:tabs>
        <w:ind w:start="0" w:end="360"/>
        <w:rPr>
          <w:rFonts w:ascii="Arial" w:hAnsi="Arial" w:cs="Arial"/>
        </w:rPr>
      </w:pPr>
      <w:r>
        <w:rPr>
          <w:rFonts w:cs="Arial" w:ascii="Arial" w:hAnsi="Arial"/>
        </w:rPr>
      </w:r>
    </w:p>
    <w:p>
      <w:pPr>
        <w:pStyle w:val="BodyText2"/>
        <w:ind w:start="0" w:end="360"/>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entury Schoolbook">
    <w:altName w:val="Bookman Old Style"/>
    <w:charset w:val="00" w:characterSet="windows-1252"/>
    <w:family w:val="roman"/>
    <w:pitch w:val="variable"/>
  </w:font>
  <w:font w:name="Book Antiqua">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 xml:space="preserve">Ref. </w:t>
    </w: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TEMPLATE_Total_Return_Swap_Confirm.doc</w:t>
    </w:r>
    <w:r>
      <w:rPr>
        <w:sz w:val="16"/>
        <w:rFonts w:cs="Arial" w:ascii="Arial" w:hAnsi="Arial"/>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lang w:val="en-CA"/>
                            </w:rPr>
                            <w:t>3</w:t>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lang w:val="en-CA"/>
                      </w:rPr>
                      <w:t>3</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 xml:space="preserve">Ref. </w:t>
    </w:r>
    <w:r>
      <w:rPr>
        <w:sz w:val="16"/>
      </w:rPr>
      <w:fldChar w:fldCharType="begin"/>
    </w:r>
    <w:r>
      <w:rPr>
        <w:sz w:val="16"/>
      </w:rPr>
      <w:instrText xml:space="preserve"> FILENAME </w:instrText>
    </w:r>
    <w:r>
      <w:rPr>
        <w:sz w:val="16"/>
      </w:rPr>
      <w:fldChar w:fldCharType="separate"/>
    </w:r>
    <w:r>
      <w:rPr>
        <w:sz w:val="16"/>
      </w:rPr>
      <w:t>TEMPLATE_Total_Return_Swap_Confirm.doc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0" w:type="dxa"/>
      <w:jc w:val="start"/>
      <w:tblInd w:w="0" w:type="dxa"/>
      <w:tblLayout w:type="fixed"/>
      <w:tblCellMar>
        <w:top w:w="0" w:type="dxa"/>
        <w:start w:w="30" w:type="dxa"/>
        <w:bottom w:w="0" w:type="dxa"/>
        <w:end w:w="30" w:type="dxa"/>
      </w:tblCellMar>
    </w:tblPr>
    <w:tblGrid>
      <w:gridCol w:w="300"/>
      <w:gridCol w:w="9270"/>
    </w:tblGrid>
    <w:tr>
      <w:trPr>
        <w:trHeight w:val="638" w:hRule="atLeast"/>
      </w:trPr>
      <w:tc>
        <w:tcPr>
          <w:tcW w:w="300" w:type="dxa"/>
          <w:tcBorders/>
        </w:tcPr>
        <w:p>
          <w:pPr>
            <w:pStyle w:val="Normal"/>
            <w:snapToGrid w:val="false"/>
            <w:jc w:val="end"/>
            <w:rPr>
              <w:rFonts w:ascii="Arial" w:hAnsi="Arial" w:cs="Arial"/>
              <w:color w:val="000000"/>
            </w:rPr>
          </w:pPr>
          <w:r>
            <w:rPr>
              <w:rFonts w:cs="Arial" w:ascii="Arial" w:hAnsi="Arial"/>
              <w:color w:val="000000"/>
            </w:rPr>
          </w:r>
        </w:p>
      </w:tc>
      <w:tc>
        <w:tcPr>
          <w:tcW w:w="9270" w:type="dxa"/>
          <w:tcBorders/>
        </w:tcPr>
        <w:p>
          <w:pPr>
            <w:pStyle w:val="Normal"/>
            <w:jc w:val="center"/>
            <w:rPr>
              <w:rFonts w:ascii="Century Schoolbook;Bookman Old Style" w:hAnsi="Century Schoolbook;Bookman Old Style" w:cs="Century Schoolbook;Bookman Old Style"/>
              <w:b/>
              <w:color w:val="000000"/>
              <w:sz w:val="52"/>
            </w:rPr>
          </w:pPr>
          <w:r>
            <w:rPr>
              <w:rFonts w:cs="Century Schoolbook;Bookman Old Style" w:ascii="Century Schoolbook;Bookman Old Style" w:hAnsi="Century Schoolbook;Bookman Old Style"/>
              <w:b/>
              <w:color w:val="000000"/>
              <w:sz w:val="52"/>
            </w:rPr>
            <w:t>Donaldson, Lufkin &amp; Jenrette</w:t>
          </w:r>
        </w:p>
      </w:tc>
    </w:tr>
    <w:tr>
      <w:trPr>
        <w:trHeight w:val="247" w:hRule="atLeast"/>
      </w:trPr>
      <w:tc>
        <w:tcPr>
          <w:tcW w:w="300" w:type="dxa"/>
          <w:tcBorders/>
        </w:tcPr>
        <w:p>
          <w:pPr>
            <w:pStyle w:val="Normal"/>
            <w:snapToGrid w:val="false"/>
            <w:jc w:val="end"/>
            <w:rPr>
              <w:rFonts w:ascii="Arial" w:hAnsi="Arial" w:cs="Arial"/>
              <w:b/>
              <w:color w:val="000000"/>
              <w:sz w:val="52"/>
            </w:rPr>
          </w:pPr>
          <w:r>
            <w:rPr>
              <w:rFonts w:cs="Arial" w:ascii="Arial" w:hAnsi="Arial"/>
              <w:b/>
              <w:color w:val="000000"/>
              <w:sz w:val="52"/>
            </w:rPr>
          </w:r>
        </w:p>
      </w:tc>
      <w:tc>
        <w:tcPr>
          <w:tcW w:w="9270" w:type="dxa"/>
          <w:tcBorders/>
        </w:tcPr>
        <w:p>
          <w:pPr>
            <w:pStyle w:val="Normal"/>
            <w:jc w:val="center"/>
            <w:rPr>
              <w:rFonts w:ascii="Book Antiqua;Georgia" w:hAnsi="Book Antiqua;Georgia" w:cs="Book Antiqua;Georgia"/>
              <w:color w:val="000000"/>
            </w:rPr>
          </w:pPr>
          <w:r>
            <w:rPr>
              <w:rFonts w:cs="Book Antiqua;Georgia" w:ascii="Book Antiqua;Georgia" w:hAnsi="Book Antiqua;Georgia"/>
              <w:color w:val="000000"/>
            </w:rPr>
            <w:t>Donaldson, Lufkin &amp; Jenrette Financial Products Limited - 277 Park Avenue, New York NY 10172</w:t>
          </w:r>
        </w:p>
      </w:tc>
    </w:tr>
    <w:tr>
      <w:trPr>
        <w:trHeight w:val="247" w:hRule="atLeast"/>
      </w:trPr>
      <w:tc>
        <w:tcPr>
          <w:tcW w:w="300" w:type="dxa"/>
          <w:tcBorders/>
        </w:tcPr>
        <w:p>
          <w:pPr>
            <w:pStyle w:val="Normal"/>
            <w:snapToGrid w:val="false"/>
            <w:jc w:val="end"/>
            <w:rPr>
              <w:rFonts w:ascii="Arial" w:hAnsi="Arial" w:cs="Arial"/>
              <w:color w:val="000000"/>
            </w:rPr>
          </w:pPr>
          <w:r>
            <w:rPr>
              <w:rFonts w:cs="Arial" w:ascii="Arial" w:hAnsi="Arial"/>
              <w:color w:val="000000"/>
            </w:rPr>
          </w:r>
        </w:p>
      </w:tc>
      <w:tc>
        <w:tcPr>
          <w:tcW w:w="9270" w:type="dxa"/>
          <w:tcBorders/>
        </w:tcPr>
        <w:p>
          <w:pPr>
            <w:pStyle w:val="Normal"/>
            <w:ind w:end="-337"/>
            <w:jc w:val="center"/>
            <w:rPr>
              <w:rFonts w:ascii="Book Antiqua;Georgia" w:hAnsi="Book Antiqua;Georgia" w:cs="Book Antiqua;Georgia"/>
              <w:color w:val="000000"/>
            </w:rPr>
          </w:pPr>
          <w:r>
            <w:rPr>
              <w:rFonts w:cs="Book Antiqua;Georgia" w:ascii="Book Antiqua;Georgia" w:hAnsi="Book Antiqua;Georgia"/>
              <w:color w:val="000000"/>
            </w:rPr>
            <w:t>Phone: 212-892-2260  Fax: 212-892-8681</w:t>
          </w:r>
        </w:p>
      </w:tc>
    </w:tr>
  </w:tbl>
  <w:p>
    <w:pPr>
      <w:pStyle w:val="Normal"/>
      <w:rPr>
        <w:lang w:val="en-CA"/>
      </w:rPr>
    </w:pPr>
    <w:r>
      <w:rPr>
        <w:lang w:val="en-CA"/>
      </w:rPr>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330" w:leader="none"/>
      </w:tabs>
      <w:ind w:hanging="0" w:start="0" w:end="360"/>
      <w:outlineLvl w:val="0"/>
    </w:pPr>
    <w:rPr>
      <w:b/>
      <w:u w:val="single"/>
    </w:rPr>
  </w:style>
  <w:style w:type="paragraph" w:styleId="Heading2">
    <w:name w:val="heading 2"/>
    <w:basedOn w:val="Normal"/>
    <w:next w:val="Normal"/>
    <w:qFormat/>
    <w:pPr>
      <w:keepNext w:val="true"/>
      <w:numPr>
        <w:ilvl w:val="1"/>
        <w:numId w:val="1"/>
      </w:numPr>
      <w:tabs>
        <w:tab w:val="clear" w:pos="720"/>
        <w:tab w:val="left" w:pos="3240" w:leader="none"/>
        <w:tab w:val="left" w:pos="3360" w:leader="none"/>
        <w:tab w:val="left" w:pos="9480" w:leader="none"/>
      </w:tabs>
      <w:ind w:hanging="3420" w:start="3420" w:end="0"/>
      <w:jc w:val="center"/>
      <w:outlineLvl w:val="1"/>
    </w:pPr>
    <w:rPr>
      <w:b/>
      <w:color w:val="800080"/>
      <w:sz w:val="28"/>
      <w:u w:val="single"/>
    </w:rPr>
  </w:style>
  <w:style w:type="paragraph" w:styleId="Heading3">
    <w:name w:val="heading 3"/>
    <w:basedOn w:val="Normal"/>
    <w:next w:val="Normal"/>
    <w:qFormat/>
    <w:pPr>
      <w:keepNext w:val="true"/>
      <w:numPr>
        <w:ilvl w:val="2"/>
        <w:numId w:val="1"/>
      </w:numPr>
      <w:spacing w:before="0" w:after="240"/>
      <w:ind w:hanging="0" w:start="1440" w:end="0"/>
      <w:outlineLvl w:val="2"/>
    </w:pPr>
    <w:rPr>
      <w:b/>
      <w:sz w:val="24"/>
    </w:rPr>
  </w:style>
  <w:style w:type="paragraph" w:styleId="Heading4">
    <w:name w:val="heading 4"/>
    <w:basedOn w:val="Normal"/>
    <w:next w:val="Normal"/>
    <w:qFormat/>
    <w:pPr>
      <w:keepNext w:val="true"/>
      <w:numPr>
        <w:ilvl w:val="3"/>
        <w:numId w:val="1"/>
      </w:numPr>
      <w:tabs>
        <w:tab w:val="clear" w:pos="720"/>
        <w:tab w:val="left" w:pos="3240" w:leader="none"/>
        <w:tab w:val="left" w:pos="9576" w:leader="none"/>
      </w:tabs>
      <w:ind w:hanging="0" w:start="3240" w:end="0"/>
      <w:jc w:val="center"/>
      <w:outlineLvl w:val="3"/>
    </w:pPr>
    <w:rPr>
      <w:b/>
      <w:color w:val="800080"/>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ind w:hanging="0" w:start="0" w:end="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BodyTextIndent2">
    <w:name w:val="Body Text Indent 2"/>
    <w:basedOn w:val="Normal"/>
    <w:qFormat/>
    <w:pPr>
      <w:tabs>
        <w:tab w:val="clear" w:pos="720"/>
        <w:tab w:val="left" w:pos="3330" w:leader="none"/>
      </w:tabs>
      <w:ind w:hanging="2016" w:start="2016" w:end="0"/>
    </w:pPr>
    <w:rPr>
      <w:color w:val="FF00FF"/>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3330" w:leader="none"/>
      </w:tabs>
      <w:ind w:hanging="3330" w:start="3330" w:end="36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120" w:after="0"/>
      <w:ind w:hanging="720" w:start="720" w:end="0"/>
    </w:pPr>
    <w:rPr>
      <w:sz w:val="24"/>
    </w:rPr>
  </w:style>
  <w:style w:type="paragraph" w:styleId="BodyTextIndent">
    <w:name w:val="Body Text Indent"/>
    <w:basedOn w:val="Normal"/>
    <w:pPr>
      <w:tabs>
        <w:tab w:val="clear" w:pos="720"/>
        <w:tab w:val="left" w:pos="3240" w:leader="none"/>
      </w:tabs>
      <w:ind w:hanging="2520" w:start="3240" w:end="0"/>
    </w:pPr>
    <w:rPr>
      <w:color w:val="000000"/>
    </w:rPr>
  </w:style>
  <w:style w:type="paragraph" w:styleId="BodyTextIndent3">
    <w:name w:val="Body Text Indent 3"/>
    <w:basedOn w:val="Normal"/>
    <w:qFormat/>
    <w:pPr>
      <w:tabs>
        <w:tab w:val="clear" w:pos="720"/>
        <w:tab w:val="left" w:pos="3240" w:leader="none"/>
        <w:tab w:val="left" w:pos="9480" w:leader="none"/>
      </w:tabs>
      <w:ind w:hanging="2880" w:start="3240" w:end="0"/>
    </w:pPr>
    <w:rPr>
      <w:color w:val="000000"/>
    </w:rPr>
  </w:style>
  <w:style w:type="paragraph" w:styleId="BodyText3">
    <w:name w:val="Body Text 3"/>
    <w:basedOn w:val="Normal"/>
    <w:qFormat/>
    <w:pPr>
      <w:tabs>
        <w:tab w:val="clear" w:pos="720"/>
        <w:tab w:val="left" w:pos="2880" w:leader="none"/>
        <w:tab w:val="left" w:pos="9480" w:leader="none"/>
      </w:tabs>
      <w:spacing w:before="0" w:after="24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2000-09-14T10:43:00Z</dcterms:created>
  <dc:creator>Aisha Piracha</dc:creator>
  <dc:description/>
  <dc:language>en-CA</dc:language>
  <cp:lastModifiedBy>DLJ</cp:lastModifiedBy>
  <cp:lastPrinted>2000-09-14T09:26:00Z</cp:lastPrinted>
  <dcterms:modified xsi:type="dcterms:W3CDTF">2000-09-14T10:56:00Z</dcterms:modified>
  <cp:revision>8</cp:revision>
  <dc:subject/>
  <dc:title>*** REVISED ***</dc:title>
</cp:coreProperties>
</file>