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18"/>
          <w:szCs w:val="18"/>
        </w:rPr>
      </w:pPr>
      <w:r>
        <w:rPr>
          <w:sz w:val="18"/>
          <w:szCs w:val="18"/>
        </w:rPr>
        <w:t>November 28, 2001</w:t>
      </w:r>
    </w:p>
    <w:p>
      <w:pPr>
        <w:pStyle w:val="Normal"/>
        <w:rPr>
          <w:b/>
          <w:bCs/>
          <w:sz w:val="18"/>
          <w:szCs w:val="18"/>
        </w:rPr>
      </w:pPr>
      <w:r>
        <w:rPr>
          <w:b/>
          <w:bCs/>
          <w:sz w:val="18"/>
          <w:szCs w:val="18"/>
        </w:rPr>
      </w:r>
    </w:p>
    <w:p>
      <w:pPr>
        <w:pStyle w:val="Normal"/>
        <w:rPr>
          <w:b/>
          <w:bCs/>
          <w:sz w:val="18"/>
          <w:szCs w:val="18"/>
        </w:rPr>
      </w:pPr>
      <w:r>
        <w:rPr>
          <w:b/>
          <w:bCs/>
          <w:sz w:val="18"/>
          <w:szCs w:val="18"/>
        </w:rPr>
      </w:r>
    </w:p>
    <w:p>
      <w:pPr>
        <w:pStyle w:val="Normal"/>
        <w:rPr>
          <w:sz w:val="18"/>
          <w:szCs w:val="18"/>
        </w:rPr>
      </w:pPr>
      <w:r>
        <w:rPr>
          <w:sz w:val="18"/>
          <w:szCs w:val="18"/>
        </w:rPr>
        <w:t>Mr. Frank Busot</w:t>
      </w:r>
    </w:p>
    <w:p>
      <w:pPr>
        <w:pStyle w:val="Normal"/>
        <w:rPr>
          <w:sz w:val="18"/>
          <w:szCs w:val="18"/>
        </w:rPr>
      </w:pPr>
      <w:r>
        <w:rPr>
          <w:sz w:val="18"/>
          <w:szCs w:val="18"/>
        </w:rPr>
        <w:t>Frontera Generation Limited Partnership</w:t>
      </w:r>
    </w:p>
    <w:p>
      <w:pPr>
        <w:pStyle w:val="Normal"/>
        <w:rPr>
          <w:sz w:val="18"/>
          <w:szCs w:val="18"/>
        </w:rPr>
      </w:pPr>
      <w:r>
        <w:rPr>
          <w:sz w:val="18"/>
          <w:szCs w:val="18"/>
        </w:rPr>
        <w:t>702 N. Franklin St.</w:t>
      </w:r>
    </w:p>
    <w:p>
      <w:pPr>
        <w:pStyle w:val="Normal"/>
        <w:rPr>
          <w:sz w:val="18"/>
          <w:szCs w:val="18"/>
        </w:rPr>
      </w:pPr>
      <w:r>
        <w:rPr>
          <w:sz w:val="18"/>
          <w:szCs w:val="18"/>
        </w:rPr>
        <w:t>Tampa, FL 33602</w:t>
      </w:r>
    </w:p>
    <w:p>
      <w:pPr>
        <w:pStyle w:val="Normal"/>
        <w:rPr>
          <w:sz w:val="18"/>
          <w:szCs w:val="18"/>
        </w:rPr>
      </w:pPr>
      <w:r>
        <w:rPr>
          <w:sz w:val="18"/>
          <w:szCs w:val="18"/>
        </w:rPr>
        <w:t>Fax (813) 228-1360</w:t>
      </w:r>
    </w:p>
    <w:p>
      <w:pPr>
        <w:pStyle w:val="Normal"/>
        <w:rPr>
          <w:sz w:val="18"/>
          <w:szCs w:val="18"/>
        </w:rPr>
      </w:pPr>
      <w:r>
        <w:rPr>
          <w:sz w:val="18"/>
          <w:szCs w:val="18"/>
        </w:rPr>
      </w:r>
    </w:p>
    <w:p>
      <w:pPr>
        <w:pStyle w:val="Normal"/>
        <w:rPr>
          <w:sz w:val="18"/>
          <w:szCs w:val="18"/>
        </w:rPr>
      </w:pPr>
      <w:r>
        <w:rPr>
          <w:sz w:val="18"/>
          <w:szCs w:val="18"/>
        </w:rPr>
        <w:t>Mr. Busot:</w:t>
      </w:r>
    </w:p>
    <w:p>
      <w:pPr>
        <w:pStyle w:val="Normal"/>
        <w:rPr>
          <w:sz w:val="18"/>
          <w:szCs w:val="18"/>
        </w:rPr>
      </w:pPr>
      <w:r>
        <w:rPr>
          <w:sz w:val="18"/>
          <w:szCs w:val="18"/>
        </w:rPr>
      </w:r>
    </w:p>
    <w:p>
      <w:pPr>
        <w:pStyle w:val="Normal"/>
        <w:rPr>
          <w:sz w:val="18"/>
          <w:szCs w:val="18"/>
        </w:rPr>
      </w:pPr>
      <w:r>
        <w:rPr>
          <w:sz w:val="18"/>
          <w:szCs w:val="18"/>
        </w:rPr>
        <w:t>Due to the recent change in Enron’s investment grade rating, we wish to inform you that there is a strong possibility that the QSE status of Enron Power Marketing, Inc. (“EPMI”) could be suspended by ERCOT in the very near future.</w:t>
      </w:r>
    </w:p>
    <w:p>
      <w:pPr>
        <w:pStyle w:val="Normal"/>
        <w:rPr>
          <w:sz w:val="18"/>
          <w:szCs w:val="18"/>
        </w:rPr>
      </w:pPr>
      <w:r>
        <w:rPr>
          <w:sz w:val="18"/>
          <w:szCs w:val="18"/>
        </w:rPr>
      </w:r>
    </w:p>
    <w:p>
      <w:pPr>
        <w:pStyle w:val="Normal"/>
        <w:rPr>
          <w:sz w:val="18"/>
          <w:szCs w:val="18"/>
        </w:rPr>
      </w:pPr>
      <w:r>
        <w:rPr>
          <w:sz w:val="18"/>
          <w:szCs w:val="18"/>
        </w:rPr>
        <w:t xml:space="preserve">It is also very possible that we will be unable to fulfill obligations as written in the Energy Management Services Agreement.  </w:t>
      </w:r>
    </w:p>
    <w:p>
      <w:pPr>
        <w:pStyle w:val="Normal"/>
        <w:rPr>
          <w:sz w:val="18"/>
          <w:szCs w:val="18"/>
        </w:rPr>
      </w:pPr>
      <w:r>
        <w:rPr>
          <w:sz w:val="18"/>
          <w:szCs w:val="18"/>
        </w:rPr>
      </w:r>
    </w:p>
    <w:p>
      <w:pPr>
        <w:pStyle w:val="Normal"/>
        <w:rPr>
          <w:sz w:val="18"/>
          <w:szCs w:val="18"/>
        </w:rPr>
      </w:pPr>
      <w:r>
        <w:rPr>
          <w:sz w:val="18"/>
          <w:szCs w:val="18"/>
        </w:rPr>
        <w:t>EPMI will continue to act as QSE for your portfolio until such time that EPMI is notified of any suspension of its QSE status by ERCOT, and will notify you as soon as possible following any such suspension.</w:t>
      </w:r>
    </w:p>
    <w:p>
      <w:pPr>
        <w:pStyle w:val="Normal"/>
        <w:rPr>
          <w:sz w:val="18"/>
          <w:szCs w:val="18"/>
        </w:rPr>
      </w:pPr>
      <w:r>
        <w:rPr>
          <w:sz w:val="18"/>
          <w:szCs w:val="18"/>
        </w:rPr>
      </w:r>
    </w:p>
    <w:p>
      <w:pPr>
        <w:pStyle w:val="Normal"/>
        <w:rPr/>
      </w:pPr>
      <w:r>
        <w:rPr>
          <w:sz w:val="18"/>
          <w:szCs w:val="18"/>
        </w:rPr>
        <w:t xml:space="preserve">At such time as its QSE status is suspended, EPMI will no longer be able to submit schedules or bids of any kind for your portfolio.  EPMI will continue to provide settlement services for </w:t>
      </w:r>
      <w:r>
        <w:rPr>
          <w:i/>
          <w:iCs/>
          <w:sz w:val="18"/>
          <w:szCs w:val="18"/>
          <w:u w:val="single"/>
        </w:rPr>
        <w:t>only the activity in your portfolio scheduled by EPMI as your QSE</w:t>
      </w:r>
      <w:r>
        <w:rPr>
          <w:sz w:val="18"/>
          <w:szCs w:val="18"/>
        </w:rPr>
        <w:t xml:space="preserve">. </w:t>
      </w:r>
    </w:p>
    <w:p>
      <w:pPr>
        <w:pStyle w:val="Normal"/>
        <w:rPr>
          <w:sz w:val="18"/>
          <w:szCs w:val="18"/>
        </w:rPr>
      </w:pPr>
      <w:r>
        <w:rPr>
          <w:sz w:val="18"/>
          <w:szCs w:val="18"/>
        </w:rPr>
      </w:r>
    </w:p>
    <w:p>
      <w:pPr>
        <w:pStyle w:val="Normal"/>
        <w:rPr>
          <w:sz w:val="18"/>
          <w:szCs w:val="18"/>
        </w:rPr>
      </w:pPr>
      <w:r>
        <w:rPr>
          <w:sz w:val="18"/>
          <w:szCs w:val="18"/>
        </w:rPr>
        <w:t>Please refer to Section 16.2.12 of the ERCOT Protocols the provisions under which CRs, LSEs and Resource Entities shall operate in the event their QSE’s qualification has been suspended by ERCOT:</w:t>
      </w:r>
    </w:p>
    <w:p>
      <w:pPr>
        <w:pStyle w:val="Normal"/>
        <w:rPr>
          <w:sz w:val="18"/>
          <w:szCs w:val="18"/>
        </w:rPr>
      </w:pPr>
      <w:r>
        <w:rPr>
          <w:sz w:val="18"/>
          <w:szCs w:val="18"/>
        </w:rPr>
      </w:r>
    </w:p>
    <w:p>
      <w:pPr>
        <w:pStyle w:val="Normal"/>
        <w:numPr>
          <w:ilvl w:val="3"/>
          <w:numId w:val="2"/>
        </w:numPr>
        <w:rPr>
          <w:b/>
          <w:bCs/>
          <w:sz w:val="18"/>
          <w:szCs w:val="18"/>
        </w:rPr>
      </w:pPr>
      <w:r>
        <w:rPr>
          <w:b/>
          <w:bCs/>
          <w:sz w:val="18"/>
          <w:szCs w:val="18"/>
        </w:rPr>
        <w:t>Assignment to the Default QSE</w:t>
      </w:r>
    </w:p>
    <w:p>
      <w:pPr>
        <w:pStyle w:val="Normal"/>
        <w:rPr>
          <w:b/>
          <w:bCs/>
          <w:sz w:val="18"/>
          <w:szCs w:val="18"/>
        </w:rPr>
      </w:pPr>
      <w:r>
        <w:rPr>
          <w:b/>
          <w:bCs/>
          <w:sz w:val="18"/>
          <w:szCs w:val="18"/>
        </w:rPr>
      </w:r>
    </w:p>
    <w:p>
      <w:pPr>
        <w:pStyle w:val="BodyTextIndent"/>
        <w:rPr>
          <w:sz w:val="18"/>
          <w:szCs w:val="18"/>
        </w:rPr>
      </w:pPr>
      <w:r>
        <w:rPr>
          <w:sz w:val="18"/>
          <w:szCs w:val="18"/>
        </w:rPr>
        <w:t>If a QSE can no longer function as a QSE or if ERCOT suspends the QSE’s qualification, ERCOT shall assign the CR, LSE, and/or Resource Entity from the failed QSE to the Default QSE.   Any Competitive Retailer (CR), Load Serving Entity (LSE) and/or Resource Entity served by the defaulting QSE must immediately select a new QSE and has 72 hours to begin scheduling operations with the new QSE.</w:t>
      </w:r>
    </w:p>
    <w:p>
      <w:pPr>
        <w:pStyle w:val="Normal"/>
        <w:ind w:start="720" w:end="0"/>
        <w:rPr>
          <w:b/>
          <w:bCs/>
          <w:sz w:val="18"/>
          <w:szCs w:val="18"/>
        </w:rPr>
      </w:pPr>
      <w:r>
        <w:rPr>
          <w:b/>
          <w:bCs/>
          <w:sz w:val="18"/>
          <w:szCs w:val="18"/>
        </w:rPr>
      </w:r>
    </w:p>
    <w:p>
      <w:pPr>
        <w:pStyle w:val="Normal"/>
        <w:numPr>
          <w:ilvl w:val="3"/>
          <w:numId w:val="2"/>
        </w:numPr>
        <w:rPr>
          <w:b/>
          <w:bCs/>
          <w:sz w:val="18"/>
          <w:szCs w:val="18"/>
        </w:rPr>
      </w:pPr>
      <w:r>
        <w:rPr>
          <w:b/>
          <w:bCs/>
          <w:sz w:val="18"/>
          <w:szCs w:val="18"/>
        </w:rPr>
        <w:t>Scheduling by Default QSE</w:t>
      </w:r>
    </w:p>
    <w:p>
      <w:pPr>
        <w:pStyle w:val="Normal"/>
        <w:rPr>
          <w:b/>
          <w:bCs/>
          <w:sz w:val="18"/>
          <w:szCs w:val="18"/>
        </w:rPr>
      </w:pPr>
      <w:r>
        <w:rPr>
          <w:b/>
          <w:bCs/>
          <w:sz w:val="18"/>
          <w:szCs w:val="18"/>
        </w:rPr>
      </w:r>
    </w:p>
    <w:p>
      <w:pPr>
        <w:pStyle w:val="Normal"/>
        <w:ind w:start="720" w:end="0"/>
        <w:rPr>
          <w:sz w:val="18"/>
          <w:szCs w:val="18"/>
        </w:rPr>
      </w:pPr>
      <w:r>
        <w:rPr>
          <w:sz w:val="18"/>
          <w:szCs w:val="18"/>
        </w:rPr>
        <w:t>To facilitate the Default QSE’s scheduling during the 72-hour period, ERCOT shall provide the CRs, LSEs and/or Resource Entity’s final same-day, prior-week balanced energy schedules to the Default QSE.  CRs, LSEs and/or Resource Entities that are served by the Default QSE must compensate the Default QSE for services provided and ERCOT settlement charges incurred by the Default QSE on behalf of the CRs, LSEs and/or Resource Entities.  CRs, LSEs and/or Resource Entities agree to waive any confidentiality provisions for such information during the 72-hour period.</w:t>
      </w:r>
    </w:p>
    <w:p>
      <w:pPr>
        <w:pStyle w:val="Normal"/>
        <w:rPr>
          <w:sz w:val="18"/>
          <w:szCs w:val="18"/>
        </w:rPr>
      </w:pPr>
      <w:r>
        <w:rPr>
          <w:sz w:val="18"/>
          <w:szCs w:val="18"/>
        </w:rPr>
      </w:r>
    </w:p>
    <w:p>
      <w:pPr>
        <w:pStyle w:val="Normal"/>
        <w:rPr>
          <w:sz w:val="18"/>
          <w:szCs w:val="18"/>
        </w:rPr>
      </w:pPr>
      <w:r>
        <w:rPr>
          <w:sz w:val="18"/>
          <w:szCs w:val="18"/>
        </w:rPr>
        <w:t>We recommend that you contact your Client Service Representative for additional details regarding the Default QSE.</w:t>
      </w:r>
    </w:p>
    <w:p>
      <w:pPr>
        <w:pStyle w:val="Normal"/>
        <w:rPr>
          <w:sz w:val="18"/>
          <w:szCs w:val="18"/>
        </w:rPr>
      </w:pPr>
      <w:r>
        <w:rPr>
          <w:sz w:val="18"/>
          <w:szCs w:val="18"/>
        </w:rPr>
      </w:r>
    </w:p>
    <w:p>
      <w:pPr>
        <w:pStyle w:val="Normal"/>
        <w:rPr>
          <w:sz w:val="18"/>
          <w:szCs w:val="18"/>
        </w:rPr>
      </w:pPr>
      <w:r>
        <w:rPr>
          <w:sz w:val="18"/>
          <w:szCs w:val="18"/>
        </w:rPr>
        <w:t>Sincerely,</w:t>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t>Ed Baughman,</w:t>
      </w:r>
    </w:p>
    <w:p>
      <w:pPr>
        <w:pStyle w:val="Normal"/>
        <w:rPr>
          <w:sz w:val="18"/>
          <w:szCs w:val="18"/>
        </w:rPr>
      </w:pPr>
      <w:r>
        <w:rPr>
          <w:sz w:val="18"/>
          <w:szCs w:val="18"/>
        </w:rPr>
        <w:t>Vice President</w:t>
      </w:r>
    </w:p>
    <w:p>
      <w:pPr>
        <w:pStyle w:val="Normal"/>
        <w:rPr>
          <w:sz w:val="18"/>
          <w:szCs w:val="18"/>
        </w:rPr>
      </w:pPr>
      <w:r>
        <w:rPr>
          <w:sz w:val="18"/>
          <w:szCs w:val="18"/>
        </w:rPr>
        <w:t>Enron North America</w:t>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6"/>
      <w:numFmt w:val="decimal"/>
      <w:lvlText w:val="%1"/>
      <w:lvlJc w:val="start"/>
      <w:pPr>
        <w:tabs>
          <w:tab w:val="num" w:pos="1110"/>
        </w:tabs>
        <w:ind w:start="1110" w:hanging="1110"/>
      </w:pPr>
      <w:rPr/>
    </w:lvl>
    <w:lvl w:ilvl="1">
      <w:start w:val="2"/>
      <w:numFmt w:val="decimal"/>
      <w:lvlText w:val="%1.%2"/>
      <w:lvlJc w:val="start"/>
      <w:pPr>
        <w:tabs>
          <w:tab w:val="num" w:pos="1350"/>
        </w:tabs>
        <w:ind w:start="1350" w:hanging="1110"/>
      </w:pPr>
      <w:rPr/>
    </w:lvl>
    <w:lvl w:ilvl="2">
      <w:start w:val="12"/>
      <w:numFmt w:val="decimal"/>
      <w:lvlText w:val="%1.%2.%3"/>
      <w:lvlJc w:val="start"/>
      <w:pPr>
        <w:tabs>
          <w:tab w:val="num" w:pos="1590"/>
        </w:tabs>
        <w:ind w:start="1590" w:hanging="1110"/>
      </w:pPr>
      <w:rPr/>
    </w:lvl>
    <w:lvl w:ilvl="3">
      <w:start w:val="2"/>
      <w:numFmt w:val="decimal"/>
      <w:lvlText w:val="%1.%2.%3.%4"/>
      <w:lvlJc w:val="start"/>
      <w:pPr>
        <w:tabs>
          <w:tab w:val="num" w:pos="1830"/>
        </w:tabs>
        <w:ind w:start="1830" w:hanging="1110"/>
      </w:pPr>
      <w:rPr/>
    </w:lvl>
    <w:lvl w:ilvl="4">
      <w:start w:val="1"/>
      <w:numFmt w:val="decimal"/>
      <w:lvlText w:val="%1.%2.%3.%4.%5"/>
      <w:lvlJc w:val="start"/>
      <w:pPr>
        <w:tabs>
          <w:tab w:val="num" w:pos="2400"/>
        </w:tabs>
        <w:ind w:start="2400" w:hanging="1440"/>
      </w:pPr>
      <w:rPr/>
    </w:lvl>
    <w:lvl w:ilvl="5">
      <w:start w:val="1"/>
      <w:numFmt w:val="decimal"/>
      <w:lvlText w:val="%1.%2.%3.%4.%5.%6"/>
      <w:lvlJc w:val="start"/>
      <w:pPr>
        <w:tabs>
          <w:tab w:val="num" w:pos="2640"/>
        </w:tabs>
        <w:ind w:start="2640" w:hanging="1440"/>
      </w:pPr>
      <w:rPr/>
    </w:lvl>
    <w:lvl w:ilvl="6">
      <w:start w:val="1"/>
      <w:numFmt w:val="decimal"/>
      <w:lvlText w:val="%1.%2.%3.%4.%5.%6.%7"/>
      <w:lvlJc w:val="start"/>
      <w:pPr>
        <w:tabs>
          <w:tab w:val="num" w:pos="3240"/>
        </w:tabs>
        <w:ind w:start="3240" w:hanging="1800"/>
      </w:pPr>
      <w:rPr/>
    </w:lvl>
    <w:lvl w:ilvl="7">
      <w:start w:val="1"/>
      <w:numFmt w:val="decimal"/>
      <w:lvlText w:val="%1.%2.%3.%4.%5.%6.%7.%8"/>
      <w:lvlJc w:val="start"/>
      <w:pPr>
        <w:tabs>
          <w:tab w:val="num" w:pos="3840"/>
        </w:tabs>
        <w:ind w:start="3840" w:hanging="2160"/>
      </w:pPr>
      <w:rPr/>
    </w:lvl>
    <w:lvl w:ilvl="8">
      <w:start w:val="1"/>
      <w:numFmt w:val="decimal"/>
      <w:lvlText w:val="%1.%2.%3.%4.%5.%6.%7.%8.%9"/>
      <w:lvlJc w:val="start"/>
      <w:pPr>
        <w:tabs>
          <w:tab w:val="num" w:pos="4080"/>
        </w:tabs>
        <w:ind w:start="4080" w:hanging="2160"/>
      </w:pPr>
      <w:r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Verdana" w:hAnsi="Verdana" w:eastAsia="Times New Roman" w:cs="Arial Unicode MS"/>
      <w:color w:val="000000"/>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2001-11-28T19:19:00Z</dcterms:created>
  <dc:creator>jmiller</dc:creator>
  <dc:description/>
  <dc:language>en-CA</dc:language>
  <cp:lastModifiedBy>jmiller</cp:lastModifiedBy>
  <cp:lastPrinted>2001-11-28T15:46:00Z</cp:lastPrinted>
  <dcterms:modified xsi:type="dcterms:W3CDTF">2001-11-28T20:04:00Z</dcterms:modified>
  <cp:revision>5</cp:revision>
  <dc:subject/>
  <dc:title>ERCOT PROTOCOLS:</dc:title>
</cp:coreProperties>
</file>