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ind w:hanging="0" w:start="0"/>
        <w:rPr/>
      </w:pPr>
      <w:r>
        <w:rPr/>
        <w:t>TECHNICAL DOCUMENTATION FOR HISTORICAL VOLATILITY</w:t>
      </w:r>
    </w:p>
    <w:p>
      <w:pPr>
        <w:pStyle w:val="Normal"/>
        <w:numPr>
          <w:ilvl w:val="0"/>
          <w:numId w:val="3"/>
        </w:numPr>
        <w:spacing w:lineRule="auto" w:line="360"/>
        <w:rPr>
          <w:sz w:val="22"/>
        </w:rPr>
      </w:pPr>
      <w:r>
        <w:rPr>
          <w:sz w:val="22"/>
        </w:rPr>
        <w:t xml:space="preserve">For any time series x of n terms, the Exponentially Weighted Moving Average (EWMA) is defined as </w:t>
      </w:r>
    </w:p>
    <w:p>
      <w:pPr>
        <w:pStyle w:val="Normal"/>
        <w:spacing w:lineRule="auto" w:line="360"/>
        <w:rPr>
          <w:sz w:val="22"/>
        </w:rPr>
      </w:pPr>
      <w:r>
        <w:rPr>
          <w:sz w:val="22"/>
        </w:rPr>
        <w:t xml:space="preserve">                </w:t>
      </w:r>
    </w:p>
    <w:p>
      <w:pPr>
        <w:pStyle w:val="Normal"/>
        <w:spacing w:lineRule="auto" w:line="360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 xml:space="preserve">=  (x </w:t>
      </w:r>
      <w:r>
        <w:rPr>
          <w:sz w:val="22"/>
          <w:vertAlign w:val="subscript"/>
        </w:rPr>
        <w:t>t</w:t>
      </w:r>
      <w:r>
        <w:rPr>
          <w:sz w:val="22"/>
        </w:rPr>
        <w:t xml:space="preserve"> + </w:t>
      </w:r>
      <w:r>
        <w:rPr>
          <w:rFonts w:cs="Symbol" w:ascii="Symbol" w:hAnsi="Symbol"/>
          <w:sz w:val="22"/>
        </w:rPr>
        <w:sym w:font="Symbol" w:char="f06c"/>
        <w:sym w:font="Symbol" w:char="f020"/>
      </w:r>
      <w:r>
        <w:rPr>
          <w:sz w:val="22"/>
        </w:rPr>
        <w:t xml:space="preserve">x </w:t>
      </w:r>
      <w:r>
        <w:rPr>
          <w:sz w:val="22"/>
          <w:vertAlign w:val="subscript"/>
        </w:rPr>
        <w:t xml:space="preserve">t –1 </w:t>
      </w:r>
      <w:r>
        <w:rPr>
          <w:sz w:val="22"/>
        </w:rPr>
        <w:t xml:space="preserve">+ </w:t>
      </w:r>
      <w:r>
        <w:rPr>
          <w:rFonts w:cs="Symbol" w:ascii="Symbol" w:hAnsi="Symbol"/>
          <w:sz w:val="22"/>
        </w:rPr>
        <w:sym w:font="Symbol" w:char="f06c"/>
      </w:r>
      <w:r>
        <w:rPr>
          <w:rFonts w:cs="Symbol" w:ascii="Symbol" w:hAnsi="Symbol"/>
          <w:sz w:val="22"/>
          <w:vertAlign w:val="superscript"/>
        </w:rPr>
        <w:sym w:font="Symbol" w:char="f032"/>
      </w:r>
      <w:r>
        <w:rPr>
          <w:rFonts w:cs="Symbol" w:ascii="Symbol" w:hAnsi="Symbol"/>
          <w:sz w:val="22"/>
        </w:rPr>
        <w:sym w:font="Symbol" w:char="f020"/>
      </w:r>
      <w:r>
        <w:rPr>
          <w:sz w:val="22"/>
        </w:rPr>
        <w:t xml:space="preserve">x </w:t>
      </w:r>
      <w:r>
        <w:rPr>
          <w:sz w:val="22"/>
          <w:vertAlign w:val="subscript"/>
        </w:rPr>
        <w:t>t –2</w:t>
      </w:r>
      <w:r>
        <w:rPr>
          <w:sz w:val="22"/>
        </w:rPr>
        <w:t xml:space="preserve">…………+ </w:t>
      </w:r>
      <w:r>
        <w:rPr>
          <w:rFonts w:cs="Symbol" w:ascii="Symbol" w:hAnsi="Symbol"/>
          <w:sz w:val="22"/>
        </w:rPr>
        <w:sym w:font="Symbol" w:char="f06c"/>
      </w:r>
      <w:r>
        <w:rPr>
          <w:sz w:val="22"/>
          <w:vertAlign w:val="superscript"/>
        </w:rPr>
        <w:t>n-1</w:t>
      </w:r>
      <w:r>
        <w:rPr>
          <w:rFonts w:cs="Symbol" w:ascii="Symbol" w:hAnsi="Symbol"/>
          <w:sz w:val="22"/>
          <w:vertAlign w:val="superscript"/>
        </w:rPr>
        <w:sym w:font="Symbol" w:char="f020"/>
      </w:r>
      <w:r>
        <w:rPr>
          <w:sz w:val="22"/>
        </w:rPr>
        <w:t xml:space="preserve">x </w:t>
      </w:r>
      <w:r>
        <w:rPr>
          <w:sz w:val="22"/>
          <w:vertAlign w:val="subscript"/>
        </w:rPr>
        <w:t>t –n+1</w:t>
      </w:r>
      <w:r>
        <w:rPr>
          <w:sz w:val="22"/>
        </w:rPr>
        <w:t xml:space="preserve">)/( 1 + </w:t>
      </w:r>
      <w:r>
        <w:rPr>
          <w:rFonts w:cs="Symbol" w:ascii="Symbol" w:hAnsi="Symbol"/>
          <w:sz w:val="22"/>
        </w:rPr>
        <w:sym w:font="Symbol" w:char="f06c"/>
        <w:sym w:font="Symbol" w:char="f020"/>
        <w:sym w:font="Symbol" w:char="f02b"/>
        <w:sym w:font="Symbol" w:char="f020"/>
        <w:sym w:font="Symbol" w:char="f06c"/>
      </w:r>
      <w:r>
        <w:rPr>
          <w:rFonts w:cs="Symbol" w:ascii="Symbol" w:hAnsi="Symbol"/>
          <w:sz w:val="22"/>
          <w:vertAlign w:val="superscript"/>
        </w:rPr>
        <w:sym w:font="Symbol" w:char="f032"/>
        <w:sym w:font="Symbol" w:char="f020"/>
      </w:r>
      <w:r>
        <w:rPr>
          <w:rFonts w:cs="Symbol" w:ascii="Symbol" w:hAnsi="Symbol"/>
          <w:sz w:val="22"/>
        </w:rPr>
        <w:sym w:font="Symbol" w:char="f020"/>
        <w:sym w:font="Symbol" w:char="f02b"/>
        <w:sym w:font="Symbol" w:char="f020"/>
        <w:sym w:font="Symbol" w:char="f02e"/>
        <w:sym w:font="Symbol" w:char="f02e"/>
        <w:sym w:font="Symbol" w:char="f02e"/>
        <w:sym w:font="Symbol" w:char="f02e"/>
        <w:sym w:font="Symbol" w:char="f02e"/>
        <w:sym w:font="Symbol" w:char="f02e"/>
        <w:sym w:font="Symbol" w:char="f02e"/>
        <w:sym w:font="Symbol" w:char="f02b"/>
        <w:sym w:font="Symbol" w:char="f020"/>
        <w:sym w:font="Symbol" w:char="f06c"/>
      </w:r>
      <w:r>
        <w:rPr>
          <w:sz w:val="22"/>
          <w:vertAlign w:val="superscript"/>
        </w:rPr>
        <w:t>n-1</w:t>
      </w:r>
      <w:r>
        <w:rPr>
          <w:sz w:val="22"/>
        </w:rPr>
        <w:t xml:space="preserve">)        </w:t>
      </w:r>
      <w:r>
        <w:rPr>
          <w:b/>
          <w:sz w:val="22"/>
        </w:rPr>
        <w:t>Eq.1</w:t>
      </w:r>
    </w:p>
    <w:p>
      <w:pPr>
        <w:pStyle w:val="Normal"/>
        <w:spacing w:lineRule="auto" w:line="36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360"/>
        <w:rPr/>
      </w:pPr>
      <w:r>
        <w:rPr>
          <w:sz w:val="22"/>
        </w:rPr>
        <w:t>We are interested in volatilities, so the appropriate x is r</w:t>
      </w:r>
      <w:r>
        <w:rPr>
          <w:sz w:val="22"/>
          <w:vertAlign w:val="subscript"/>
        </w:rPr>
        <w:t xml:space="preserve">t 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(r</w:t>
      </w:r>
      <w:r>
        <w:rPr>
          <w:sz w:val="22"/>
          <w:vertAlign w:val="subscript"/>
        </w:rPr>
        <w:t>t</w:t>
      </w:r>
      <w:r>
        <w:rPr>
          <w:sz w:val="22"/>
        </w:rPr>
        <w:t xml:space="preserve"> is the daily return at time t =   ln(F</w:t>
      </w:r>
      <w:r>
        <w:rPr>
          <w:sz w:val="22"/>
          <w:vertAlign w:val="subscript"/>
        </w:rPr>
        <w:t>t</w:t>
      </w:r>
      <w:r>
        <w:rPr>
          <w:sz w:val="22"/>
        </w:rPr>
        <w:t>/F</w:t>
      </w:r>
      <w:r>
        <w:rPr>
          <w:sz w:val="22"/>
          <w:vertAlign w:val="subscript"/>
        </w:rPr>
        <w:t>t-1</w:t>
      </w:r>
      <w:r>
        <w:rPr>
          <w:sz w:val="22"/>
        </w:rPr>
        <w:t>, and we  will also make the code flexible to include the average daily return), where F</w:t>
      </w:r>
      <w:r>
        <w:rPr>
          <w:sz w:val="22"/>
          <w:vertAlign w:val="subscript"/>
        </w:rPr>
        <w:t>t</w:t>
      </w:r>
      <w:r>
        <w:rPr>
          <w:sz w:val="22"/>
        </w:rPr>
        <w:t xml:space="preserve"> is the Forward price of a particular contract, t denotes today. ) </w:t>
      </w:r>
      <w:r>
        <w:rPr>
          <w:rFonts w:cs="Symbol" w:ascii="Symbol" w:hAnsi="Symbol"/>
          <w:sz w:val="22"/>
        </w:rPr>
        <w:sym w:font="Symbol" w:char="f06c"/>
      </w:r>
      <w:r>
        <w:rPr>
          <w:sz w:val="22"/>
        </w:rPr>
        <w:t xml:space="preserve"> is the decay factor to weight the x’s.  </w:t>
      </w:r>
    </w:p>
    <w:p>
      <w:pPr>
        <w:pStyle w:val="Normal"/>
        <w:spacing w:lineRule="auto" w:line="36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spacing w:lineRule="auto" w:line="360"/>
        <w:rPr>
          <w:sz w:val="22"/>
        </w:rPr>
      </w:pPr>
      <w:r>
        <w:rPr>
          <w:sz w:val="22"/>
        </w:rPr>
        <w:t>Risk Metrics suggests</w:t>
      </w:r>
    </w:p>
    <w:p>
      <w:pPr>
        <w:pStyle w:val="Normal"/>
        <w:spacing w:lineRule="auto" w:line="360"/>
        <w:rPr/>
      </w:pPr>
      <w:r>
        <w:rPr>
          <w:sz w:val="22"/>
        </w:rPr>
        <w:t xml:space="preserve">                                                       </w:t>
      </w:r>
      <w:r>
        <w:rPr>
          <w:rFonts w:cs="Symbol" w:ascii="Symbol" w:hAnsi="Symbol"/>
          <w:sz w:val="22"/>
        </w:rPr>
        <w:sym w:font="Symbol" w:char="f06c"/>
        <w:sym w:font="Symbol" w:char="f020"/>
        <w:sym w:font="Symbol" w:char="f03d"/>
        <w:sym w:font="Symbol" w:char="f020"/>
        <w:sym w:font="Symbol" w:char="f02e"/>
        <w:sym w:font="Symbol" w:char="f039"/>
        <w:sym w:font="Symbol" w:char="f034"/>
        <w:sym w:font="Symbol" w:char="f020"/>
      </w:r>
      <w:r>
        <w:rPr>
          <w:sz w:val="22"/>
        </w:rPr>
        <w:t>(for daily returns)</w:t>
        <w:tab/>
        <w:tab/>
        <w:t xml:space="preserve">            </w:t>
      </w:r>
      <w:r>
        <w:rPr>
          <w:b/>
          <w:sz w:val="22"/>
        </w:rPr>
        <w:tab/>
        <w:t>Eq.2</w:t>
      </w:r>
      <w:r>
        <w:rPr>
          <w:rFonts w:cs="Symbol" w:ascii="Symbol" w:hAnsi="Symbol"/>
          <w:sz w:val="22"/>
        </w:rPr>
        <w:sym w:font="Symbol" w:char="f020"/>
      </w:r>
    </w:p>
    <w:p>
      <w:pPr>
        <w:pStyle w:val="Normal"/>
        <w:spacing w:lineRule="auto" w:line="360"/>
        <w:rPr>
          <w:rFonts w:ascii="Symbol" w:hAnsi="Symbol" w:cs="Symbol"/>
          <w:sz w:val="22"/>
        </w:rPr>
      </w:pPr>
      <w:r>
        <w:rPr>
          <w:rFonts w:cs="Symbol" w:ascii="Symbol" w:hAnsi="Symbol"/>
          <w:sz w:val="22"/>
        </w:rPr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Symbol" w:hAnsi="Symbol" w:cs="Symbol"/>
          <w:sz w:val="22"/>
        </w:rPr>
      </w:pPr>
      <w:r>
        <w:rPr>
          <w:sz w:val="22"/>
        </w:rPr>
        <w:t xml:space="preserve">For n, the idea is to use 60.  The half-life of a .94 EWMA is about 30 days. </w:t>
      </w:r>
      <w:r>
        <w:rPr>
          <w:rFonts w:cs="Symbol" w:ascii="Symbol" w:hAnsi="Symbol"/>
          <w:sz w:val="22"/>
        </w:rPr>
        <w:sym w:font="Symbol" w:char="f020"/>
        <w:sym w:font="Symbol" w:char="f020"/>
        <w:sym w:font="Symbol" w:char="f020"/>
        <w:sym w:font="Symbol" w:char="f020"/>
        <w:sym w:font="Symbol" w:char="f020"/>
        <w:sym w:font="Symbol" w:char="f020"/>
        <w:sym w:font="Symbol" w:char="f020"/>
        <w:sym w:font="Symbol" w:char="f020"/>
        <w:sym w:font="Symbol" w:char="f020"/>
      </w:r>
    </w:p>
    <w:p>
      <w:pPr>
        <w:pStyle w:val="Normal"/>
        <w:spacing w:lineRule="auto" w:line="360"/>
        <w:rPr>
          <w:rFonts w:ascii="Symbol" w:hAnsi="Symbol" w:cs="Symbol"/>
          <w:sz w:val="22"/>
        </w:rPr>
      </w:pPr>
      <w:r>
        <w:rPr>
          <w:rFonts w:cs="Symbol" w:ascii="Symbol" w:hAnsi="Symbol"/>
          <w:sz w:val="22"/>
        </w:rPr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Symbol" w:hAnsi="Symbol" w:cs="Symbol"/>
          <w:sz w:val="22"/>
        </w:rPr>
      </w:pPr>
      <w:r>
        <w:rPr>
          <w:sz w:val="22"/>
        </w:rPr>
        <w:t>The actual annualized volatility (for a maturity-T contract) is</w:t>
      </w:r>
    </w:p>
    <w:p>
      <w:pPr>
        <w:pStyle w:val="Normal"/>
        <w:spacing w:lineRule="auto" w:line="360"/>
        <w:rPr/>
      </w:pPr>
      <w:r>
        <w:rPr>
          <w:sz w:val="22"/>
        </w:rPr>
        <w:t xml:space="preserve">                                                     </w:t>
      </w:r>
      <w:r>
        <w:rPr>
          <w:rFonts w:cs="Symbol" w:ascii="Symbol" w:hAnsi="Symbol"/>
          <w:sz w:val="22"/>
        </w:rPr>
        <w:sym w:font="Symbol" w:char="f073"/>
      </w:r>
      <w:r>
        <w:rPr>
          <w:sz w:val="22"/>
          <w:vertAlign w:val="subscript"/>
        </w:rPr>
        <w:t>t,T</w:t>
      </w:r>
      <w:r>
        <w:rPr>
          <w:sz w:val="22"/>
        </w:rPr>
        <w:t xml:space="preserve"> = sqrt(365.25)* sqrt(</w:t>
      </w:r>
      <w:r>
        <w:rPr>
          <w:b/>
          <w:sz w:val="22"/>
        </w:rPr>
        <w:t>Eq.</w:t>
      </w:r>
      <w:r>
        <w:rPr>
          <w:sz w:val="22"/>
        </w:rPr>
        <w:t xml:space="preserve"> </w:t>
      </w:r>
      <w:r>
        <w:rPr>
          <w:b/>
          <w:sz w:val="22"/>
        </w:rPr>
        <w:t>1</w:t>
      </w:r>
      <w:r>
        <w:rPr>
          <w:sz w:val="22"/>
        </w:rPr>
        <w:t>)</w:t>
        <w:tab/>
        <w:tab/>
        <w:tab/>
      </w:r>
      <w:r>
        <w:rPr>
          <w:b/>
          <w:sz w:val="22"/>
        </w:rPr>
        <w:t>Eq.3</w:t>
      </w:r>
    </w:p>
    <w:p>
      <w:pPr>
        <w:pStyle w:val="Normal"/>
        <w:spacing w:lineRule="auto" w:line="36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Symbol" w:hAnsi="Symbol" w:cs="Symbol"/>
          <w:sz w:val="22"/>
        </w:rPr>
      </w:pPr>
      <w:r>
        <w:rPr>
          <w:sz w:val="22"/>
        </w:rPr>
        <w:t xml:space="preserve">Risk-Metrics makes the assumption that the denominator in </w:t>
      </w:r>
      <w:r>
        <w:rPr>
          <w:b/>
          <w:sz w:val="22"/>
        </w:rPr>
        <w:t xml:space="preserve">Eq. 1 </w:t>
      </w:r>
      <w:r>
        <w:rPr>
          <w:sz w:val="22"/>
        </w:rPr>
        <w:t xml:space="preserve">can be represented by (1 - </w:t>
      </w:r>
      <w:r>
        <w:rPr>
          <w:rFonts w:cs="Symbol" w:ascii="Symbol" w:hAnsi="Symbol"/>
          <w:sz w:val="22"/>
        </w:rPr>
        <w:sym w:font="Symbol" w:char="f06c"/>
        <w:sym w:font="Symbol" w:char="f029"/>
        <w:sym w:font="Symbol" w:char="f02c"/>
        <w:sym w:font="Symbol" w:char="f020"/>
      </w:r>
      <w:r>
        <w:rPr>
          <w:sz w:val="22"/>
        </w:rPr>
        <w:t>which is only true for n going to infinity.  With such an assumption, the annualized volatilities on a daily basis can be written as</w:t>
      </w:r>
    </w:p>
    <w:p>
      <w:pPr>
        <w:pStyle w:val="Normal"/>
        <w:spacing w:lineRule="auto" w:line="360"/>
        <w:rPr/>
      </w:pPr>
      <w:r>
        <w:rPr>
          <w:sz w:val="22"/>
        </w:rPr>
        <w:t xml:space="preserve">                                              </w:t>
      </w:r>
      <w:r>
        <w:rPr>
          <w:rFonts w:cs="Symbol" w:ascii="Symbol" w:hAnsi="Symbol"/>
          <w:sz w:val="22"/>
        </w:rPr>
        <w:sym w:font="Symbol" w:char="f073"/>
      </w:r>
      <w:r>
        <w:rPr>
          <w:sz w:val="22"/>
          <w:vertAlign w:val="subscript"/>
        </w:rPr>
        <w:t>t,T</w:t>
      </w:r>
      <w:r>
        <w:rPr>
          <w:sz w:val="22"/>
        </w:rPr>
        <w:t xml:space="preserve"> =  sqrt[</w:t>
      </w:r>
      <w:r>
        <w:rPr>
          <w:rFonts w:cs="Symbol" w:ascii="Symbol" w:hAnsi="Symbol"/>
          <w:sz w:val="22"/>
        </w:rPr>
        <w:sym w:font="Symbol" w:char="f06c"/>
        <w:sym w:font="Symbol" w:char="f020"/>
        <w:sym w:font="Symbol" w:char="f073"/>
      </w:r>
      <w:r>
        <w:rPr>
          <w:rFonts w:cs="Symbol" w:ascii="Symbol" w:hAnsi="Symbol"/>
          <w:sz w:val="22"/>
          <w:vertAlign w:val="superscript"/>
        </w:rPr>
        <w:sym w:font="Symbol" w:char="f032"/>
      </w:r>
      <w:r>
        <w:rPr>
          <w:sz w:val="22"/>
          <w:vertAlign w:val="subscript"/>
        </w:rPr>
        <w:t>t-1,T</w:t>
      </w:r>
      <w:r>
        <w:rPr>
          <w:sz w:val="22"/>
        </w:rPr>
        <w:t xml:space="preserve"> </w:t>
      </w:r>
      <w:r>
        <w:rPr>
          <w:rFonts w:cs="Symbol" w:ascii="Symbol" w:hAnsi="Symbol"/>
          <w:sz w:val="22"/>
        </w:rPr>
        <w:sym w:font="Symbol" w:char="f020"/>
        <w:sym w:font="Symbol" w:char="f02b"/>
        <w:sym w:font="Symbol" w:char="f020"/>
        <w:sym w:font="Symbol" w:char="f028"/>
        <w:sym w:font="Symbol" w:char="f031"/>
        <w:sym w:font="Symbol" w:char="f020"/>
        <w:sym w:font="Symbol" w:char="f02d"/>
        <w:sym w:font="Symbol" w:char="f020"/>
        <w:sym w:font="Symbol" w:char="f06c"/>
        <w:sym w:font="Symbol" w:char="f029"/>
        <w:sym w:font="Symbol" w:char="f020"/>
      </w:r>
      <w:r>
        <w:rPr>
          <w:sz w:val="22"/>
        </w:rPr>
        <w:t>r</w:t>
      </w:r>
      <w:r>
        <w:rPr>
          <w:sz w:val="22"/>
          <w:vertAlign w:val="subscript"/>
        </w:rPr>
        <w:t>t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* (365.25)]               </w:t>
      </w:r>
      <w:r>
        <w:rPr>
          <w:b/>
          <w:sz w:val="22"/>
        </w:rPr>
        <w:t>Eq. 4</w:t>
      </w:r>
      <w:r>
        <w:rPr>
          <w:sz w:val="22"/>
        </w:rPr>
        <w:t xml:space="preserve">                                 </w:t>
      </w:r>
    </w:p>
    <w:p>
      <w:pPr>
        <w:pStyle w:val="Normal"/>
        <w:spacing w:lineRule="auto" w:line="360"/>
        <w:rPr/>
      </w:pPr>
      <w:r>
        <w:rPr>
          <w:sz w:val="22"/>
        </w:rPr>
        <w:t xml:space="preserve">       </w:t>
      </w:r>
      <w:r>
        <w:rPr>
          <w:sz w:val="22"/>
        </w:rPr>
        <w:t xml:space="preserve">which makes the </w:t>
      </w:r>
      <w:r>
        <w:rPr>
          <w:sz w:val="22"/>
          <w:u w:val="single"/>
        </w:rPr>
        <w:t>IT implementation</w:t>
      </w:r>
      <w:r>
        <w:rPr>
          <w:sz w:val="22"/>
        </w:rPr>
        <w:t xml:space="preserve"> a little easier.</w:t>
      </w:r>
    </w:p>
    <w:p>
      <w:pPr>
        <w:pStyle w:val="Normal"/>
        <w:spacing w:lineRule="auto" w:line="36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spacing w:lineRule="auto" w:line="360"/>
        <w:rPr>
          <w:sz w:val="22"/>
        </w:rPr>
      </w:pPr>
      <w:r>
        <w:rPr>
          <w:sz w:val="22"/>
        </w:rPr>
        <w:t xml:space="preserve">These historical volatilities are used as inputs into program for the forward-forward volatilities.  </w:t>
      </w:r>
    </w:p>
    <w:p>
      <w:pPr>
        <w:pStyle w:val="Normal"/>
        <w:spacing w:lineRule="auto" w:line="360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2000-07-31T19:44:00Z</dcterms:created>
  <dc:creator>Naveen C. Andrews</dc:creator>
  <dc:description/>
  <dc:language>en-CA</dc:language>
  <cp:lastModifiedBy>vgorny</cp:lastModifiedBy>
  <dcterms:modified xsi:type="dcterms:W3CDTF">2000-07-31T19:44:00Z</dcterms:modified>
  <cp:revision>2</cp:revision>
  <dc:subject/>
  <dc:title>TECHNICAL DOCUMENTATION FOR HISTORICAL VOLATILITY</dc:title>
</cp:coreProperties>
</file>