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4770"/>
          <w:tab w:val="left" w:pos="540" w:leader="none"/>
          <w:tab w:val="left" w:pos="3780" w:leader="none"/>
        </w:tabs>
        <w:ind w:hanging="0" w:start="0"/>
        <w:rPr>
          <w:sz w:val="36"/>
        </w:rPr>
      </w:pPr>
      <w:r>
        <w:rPr>
          <w:sz w:val="36"/>
        </w:rPr>
        <w:tab/>
        <w:tab/>
        <w:t xml:space="preserve">                         T&amp;D Rate Estimator </w:t>
      </w:r>
    </w:p>
    <w:p>
      <w:pPr>
        <w:pStyle w:val="BodyText"/>
        <w:tabs>
          <w:tab w:val="clear" w:pos="1170"/>
          <w:tab w:val="left" w:pos="-3150" w:leader="none"/>
        </w:tabs>
        <w:ind w:hanging="360" w:start="360" w:end="0"/>
        <w:rPr>
          <w:sz w:val="22"/>
        </w:rPr>
      </w:pPr>
      <w:r>
        <w:rPr>
          <w:sz w:val="22"/>
        </w:rPr>
      </w:r>
    </w:p>
    <w:p>
      <w:pPr>
        <w:pStyle w:val="BodyText"/>
        <w:tabs>
          <w:tab w:val="clear" w:pos="1170"/>
          <w:tab w:val="left" w:pos="-3150" w:leader="none"/>
        </w:tabs>
        <w:rPr>
          <w:b/>
          <w:sz w:val="22"/>
          <w:u w:val="single"/>
        </w:rPr>
      </w:pPr>
      <w:r>
        <w:rPr>
          <w:b/>
          <w:sz w:val="22"/>
          <w:u w:val="single"/>
        </w:rPr>
        <w:t>Project Team</w:t>
      </w:r>
    </w:p>
    <w:p>
      <w:pPr>
        <w:pStyle w:val="BodyText"/>
        <w:tabs>
          <w:tab w:val="clear" w:pos="1170"/>
          <w:tab w:val="left" w:pos="-3150" w:leader="none"/>
        </w:tabs>
        <w:rPr>
          <w:sz w:val="22"/>
        </w:rPr>
      </w:pPr>
      <w:r>
        <w:rPr>
          <w:sz w:val="22"/>
        </w:rPr>
        <w:t>Ken Farrar*</w:t>
        <w:tab/>
        <w:tab/>
        <w:tab/>
        <w:tab/>
        <w:tab/>
        <w:tab/>
        <w:tab/>
      </w:r>
    </w:p>
    <w:p>
      <w:pPr>
        <w:pStyle w:val="BodyText"/>
        <w:tabs>
          <w:tab w:val="clear" w:pos="1170"/>
          <w:tab w:val="left" w:pos="-3150" w:leader="none"/>
        </w:tabs>
        <w:rPr>
          <w:sz w:val="22"/>
        </w:rPr>
      </w:pPr>
      <w:r>
        <w:rPr>
          <w:sz w:val="22"/>
        </w:rPr>
        <w:t>Matthew Paynter</w:t>
      </w:r>
    </w:p>
    <w:p>
      <w:pPr>
        <w:pStyle w:val="BodyText"/>
        <w:tabs>
          <w:tab w:val="clear" w:pos="1170"/>
          <w:tab w:val="left" w:pos="-3150" w:leader="none"/>
        </w:tabs>
        <w:rPr>
          <w:sz w:val="22"/>
        </w:rPr>
      </w:pPr>
      <w:r>
        <w:rPr>
          <w:sz w:val="22"/>
        </w:rPr>
        <w:t>Christina Benkert</w:t>
      </w:r>
    </w:p>
    <w:p>
      <w:pPr>
        <w:pStyle w:val="BodyText"/>
        <w:tabs>
          <w:tab w:val="clear" w:pos="1170"/>
          <w:tab w:val="left" w:pos="-3150" w:leader="none"/>
        </w:tabs>
        <w:rPr>
          <w:sz w:val="22"/>
        </w:rPr>
      </w:pPr>
      <w:r>
        <w:rPr>
          <w:sz w:val="22"/>
        </w:rPr>
      </w:r>
    </w:p>
    <w:p>
      <w:pPr>
        <w:pStyle w:val="BodyText"/>
        <w:tabs>
          <w:tab w:val="clear" w:pos="1170"/>
          <w:tab w:val="left" w:pos="-3150" w:leader="none"/>
        </w:tabs>
        <w:rPr>
          <w:b/>
          <w:sz w:val="22"/>
          <w:u w:val="single"/>
        </w:rPr>
      </w:pPr>
      <w:r>
        <w:rPr>
          <w:b/>
          <w:sz w:val="22"/>
          <w:u w:val="single"/>
        </w:rPr>
        <w:t>Project’s Purpose:</w:t>
      </w:r>
    </w:p>
    <w:p>
      <w:pPr>
        <w:pStyle w:val="BodyText"/>
        <w:rPr>
          <w:sz w:val="22"/>
        </w:rPr>
      </w:pPr>
      <w:r>
        <w:rPr>
          <w:sz w:val="22"/>
        </w:rPr>
        <w:t>To develop a bill estimator that calculates future transportation and distribution charges (2002 starting year) for several Texas utilities.  Utilities included in the model are CPL, Entergy GSU, Reliant HL&amp;P, SWEPCO, TXU, and WTU.</w:t>
      </w:r>
    </w:p>
    <w:p>
      <w:pPr>
        <w:pStyle w:val="BodyText"/>
        <w:tabs>
          <w:tab w:val="clear" w:pos="1170"/>
          <w:tab w:val="left" w:pos="-3150" w:leader="none"/>
        </w:tabs>
        <w:rPr>
          <w:sz w:val="22"/>
          <w:u w:val="single"/>
        </w:rPr>
      </w:pPr>
      <w:r>
        <w:rPr>
          <w:sz w:val="22"/>
          <w:u w:val="single"/>
        </w:rPr>
      </w:r>
    </w:p>
    <w:p>
      <w:pPr>
        <w:pStyle w:val="BodyText"/>
        <w:tabs>
          <w:tab w:val="clear" w:pos="1170"/>
          <w:tab w:val="left" w:pos="-3150" w:leader="none"/>
        </w:tabs>
        <w:rPr>
          <w:b/>
          <w:sz w:val="22"/>
          <w:u w:val="single"/>
        </w:rPr>
      </w:pPr>
      <w:r>
        <w:rPr>
          <w:b/>
          <w:sz w:val="22"/>
          <w:u w:val="single"/>
        </w:rPr>
        <w:t>Project’s Scope:</w:t>
      </w:r>
    </w:p>
    <w:p>
      <w:pPr>
        <w:pStyle w:val="BodyText"/>
        <w:tabs>
          <w:tab w:val="clear" w:pos="1170"/>
          <w:tab w:val="left" w:pos="-3150" w:leader="none"/>
        </w:tabs>
        <w:rPr>
          <w:sz w:val="22"/>
        </w:rPr>
      </w:pPr>
      <w:r>
        <w:rPr>
          <w:sz w:val="22"/>
        </w:rPr>
        <w:t>This project first required obtaining the most recent projected tariffs from the PUCT website.  Tariffs were then programmed into an Excel spreadsheet, and results were compared against baseline data (i.e. individual scalar files) to ensure accuracy. The model features easy-to-use buttons that allow the user to quickly select the utility, voltage level, IDR, and current tariff.  Once the user inputs desired demand and load factor, future T&amp;D costs are calculated.</w:t>
      </w:r>
    </w:p>
    <w:p>
      <w:pPr>
        <w:pStyle w:val="BodyText"/>
        <w:tabs>
          <w:tab w:val="clear" w:pos="1170"/>
          <w:tab w:val="left" w:pos="-3150" w:leader="none"/>
        </w:tabs>
        <w:rPr>
          <w:sz w:val="22"/>
        </w:rPr>
      </w:pPr>
      <w:r>
        <w:rPr>
          <w:sz w:val="22"/>
        </w:rPr>
      </w:r>
    </w:p>
    <w:p>
      <w:pPr>
        <w:pStyle w:val="BodyText"/>
        <w:tabs>
          <w:tab w:val="clear" w:pos="1170"/>
          <w:tab w:val="left" w:pos="-3150" w:leader="none"/>
        </w:tabs>
        <w:rPr>
          <w:b/>
          <w:sz w:val="22"/>
          <w:u w:val="single"/>
        </w:rPr>
      </w:pPr>
      <w:r>
        <w:rPr>
          <w:b/>
          <w:sz w:val="22"/>
          <w:u w:val="single"/>
        </w:rPr>
        <w:t>Project’s Application:</w:t>
      </w:r>
    </w:p>
    <w:p>
      <w:pPr>
        <w:pStyle w:val="BodyText"/>
        <w:tabs>
          <w:tab w:val="clear" w:pos="1170"/>
          <w:tab w:val="left" w:pos="-3150" w:leader="none"/>
        </w:tabs>
        <w:rPr>
          <w:sz w:val="22"/>
        </w:rPr>
      </w:pPr>
      <w:r>
        <w:rPr>
          <w:sz w:val="22"/>
        </w:rPr>
        <w:t>This project developed from a need by “Deal Structuring” to show potential customers a breakdown of their future T&amp;D costs.  Customers were requesting this data in order to compare today’s bundled rate with the unbundled rates being offered in the future. Customers would then be able to add this “T&amp;D” cost to the “Retail Generation” cost being quoted by Enron in order to get an accurate picture of what their future power bills will look like.  Thus far, the model is primarily used to estimate T&amp;D bills for Reliant HL&amp;P and TXU customers.</w:t>
      </w:r>
    </w:p>
    <w:p>
      <w:pPr>
        <w:pStyle w:val="BodyText"/>
        <w:tabs>
          <w:tab w:val="clear" w:pos="1170"/>
          <w:tab w:val="left" w:pos="-3150" w:leader="none"/>
        </w:tabs>
        <w:rPr>
          <w:sz w:val="22"/>
        </w:rPr>
      </w:pPr>
      <w:r>
        <w:rPr>
          <w:sz w:val="22"/>
        </w:rPr>
      </w:r>
    </w:p>
    <w:p>
      <w:pPr>
        <w:pStyle w:val="BodyText"/>
        <w:tabs>
          <w:tab w:val="clear" w:pos="1170"/>
          <w:tab w:val="left" w:pos="-3150" w:leader="none"/>
        </w:tabs>
        <w:rPr>
          <w:sz w:val="22"/>
        </w:rPr>
      </w:pPr>
      <w:r>
        <w:rPr>
          <w:sz w:val="22"/>
        </w:rPr>
      </w:r>
    </w:p>
    <w:p>
      <w:pPr>
        <w:pStyle w:val="BodyText"/>
        <w:tabs>
          <w:tab w:val="clear" w:pos="1170"/>
          <w:tab w:val="left" w:pos="-3150" w:leader="none"/>
        </w:tabs>
        <w:rPr>
          <w:sz w:val="22"/>
        </w:rPr>
      </w:pPr>
      <w:r>
        <w:rPr>
          <w:sz w:val="22"/>
        </w:rPr>
      </w:r>
    </w:p>
    <w:p>
      <w:pPr>
        <w:pStyle w:val="BodyText"/>
        <w:tabs>
          <w:tab w:val="clear" w:pos="1170"/>
          <w:tab w:val="left" w:pos="-3150" w:leader="none"/>
        </w:tabs>
        <w:rPr>
          <w:sz w:val="22"/>
        </w:rPr>
      </w:pPr>
      <w:r>
        <w:rPr>
          <w:sz w:val="22"/>
        </w:rPr>
        <w:t>Attachment</w:t>
      </w:r>
    </w:p>
    <w:p>
      <w:pPr>
        <w:pStyle w:val="BodyText"/>
        <w:tabs>
          <w:tab w:val="clear" w:pos="1170"/>
          <w:tab w:val="left" w:pos="-3150" w:leader="none"/>
        </w:tabs>
        <w:rPr>
          <w:sz w:val="22"/>
        </w:rPr>
      </w:pPr>
      <w:r>
        <w:rPr>
          <w:sz w:val="22"/>
        </w:rPr>
      </w:r>
    </w:p>
    <w:p>
      <w:pPr>
        <w:pStyle w:val="BodyText"/>
        <w:tabs>
          <w:tab w:val="clear" w:pos="1170"/>
          <w:tab w:val="left" w:pos="-3150" w:leader="none"/>
        </w:tabs>
        <w:rPr>
          <w:sz w:val="22"/>
        </w:rPr>
      </w:pPr>
      <w:r>
        <w:rPr>
          <w:sz w:val="22"/>
        </w:rPr>
        <w:t>*Team Lead</w:t>
      </w:r>
    </w:p>
    <w:p>
      <w:pPr>
        <w:pStyle w:val="BodyText"/>
        <w:tabs>
          <w:tab w:val="clear" w:pos="1170"/>
          <w:tab w:val="left" w:pos="-3150" w:leader="none"/>
        </w:tabs>
        <w:rPr>
          <w:sz w:val="22"/>
        </w:rPr>
      </w:pPr>
      <w:r>
        <w:rPr>
          <w:sz w:val="22"/>
        </w:rPr>
      </w:r>
    </w:p>
    <w:p>
      <w:pPr>
        <w:pStyle w:val="BodyText"/>
        <w:tabs>
          <w:tab w:val="clear" w:pos="1170"/>
          <w:tab w:val="left" w:pos="-3150" w:leader="none"/>
        </w:tabs>
        <w:rPr>
          <w:sz w:val="22"/>
        </w:rPr>
      </w:pPr>
      <w:r>
        <w:rPr>
          <w:sz w:val="22"/>
        </w:rPr>
      </w:r>
    </w:p>
    <w:sectPr>
      <w:footerReference w:type="default" r:id="rId2"/>
      <w:footerReference w:type="first" r:id="rId3"/>
      <w:type w:val="nextPage"/>
      <w:pgSz w:w="12240" w:h="15840"/>
      <w:pgMar w:left="1440" w:right="1440" w:gutter="0" w:header="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770" w:leader="none"/>
      </w:tabs>
      <w:outlineLvl w:val="0"/>
    </w:pPr>
    <w:rPr>
      <w:b/>
      <w:sz w:val="48"/>
      <w:u w:val="single"/>
    </w:rPr>
  </w:style>
  <w:style w:type="paragraph" w:styleId="Heading2">
    <w:name w:val="heading 2"/>
    <w:basedOn w:val="Normal"/>
    <w:next w:val="Normal"/>
    <w:qFormat/>
    <w:pPr>
      <w:keepNext w:val="true"/>
      <w:numPr>
        <w:ilvl w:val="1"/>
        <w:numId w:val="1"/>
      </w:numPr>
      <w:outlineLvl w:val="1"/>
    </w:pPr>
    <w:rPr>
      <w:sz w:val="24"/>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17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2001-08-24T18:14:00Z</dcterms:created>
  <dc:creator>jrudolph</dc:creator>
  <dc:description/>
  <dc:language>en-CA</dc:language>
  <cp:lastModifiedBy>mpaynter</cp:lastModifiedBy>
  <cp:lastPrinted>2001-09-04T09:57:00Z</cp:lastPrinted>
  <dcterms:modified xsi:type="dcterms:W3CDTF">2001-09-04T12:52:00Z</dcterms:modified>
  <cp:revision>14</cp:revision>
  <dc:subject/>
  <dc:title>RATE INDEX: DISTRIBUTION CO-OPS</dc:title>
</cp:coreProperties>
</file>