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July 31, 2000</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b/>
        </w:rPr>
      </w:pPr>
      <w:r>
        <w:rPr>
          <w:b/>
        </w:rPr>
        <w:t>Excess Emissions Report</w:t>
      </w:r>
    </w:p>
    <w:p>
      <w:pPr>
        <w:pStyle w:val="Normal"/>
        <w:rPr>
          <w:b/>
        </w:rPr>
      </w:pPr>
      <w:r>
        <w:rPr>
          <w:b/>
        </w:rPr>
      </w:r>
    </w:p>
    <w:p>
      <w:pPr>
        <w:pStyle w:val="Normal"/>
        <w:rPr/>
      </w:pPr>
      <w:r>
        <w:rPr/>
      </w:r>
    </w:p>
    <w:p>
      <w:pPr>
        <w:pStyle w:val="Heading2"/>
        <w:ind w:hanging="0" w:start="0"/>
        <w:rPr/>
      </w:pPr>
      <w:r>
        <w:rPr/>
      </w:r>
    </w:p>
    <w:p>
      <w:pPr>
        <w:pStyle w:val="Heading2"/>
        <w:ind w:hanging="0" w:start="0"/>
        <w:rPr/>
      </w:pPr>
      <w:r>
        <w:rPr/>
        <w:t>Four Stationary Gas Turbines</w:t>
      </w:r>
    </w:p>
    <w:p>
      <w:pPr>
        <w:pStyle w:val="Normal"/>
        <w:rPr>
          <w:sz w:val="32"/>
        </w:rPr>
      </w:pPr>
      <w:r>
        <w:rPr>
          <w:sz w:val="32"/>
        </w:rPr>
        <w:t>(Second-Half, 2000)</w:t>
      </w:r>
    </w:p>
    <w:p>
      <w:pPr>
        <w:pStyle w:val="Normal"/>
        <w:rPr>
          <w:sz w:val="32"/>
        </w:rPr>
      </w:pPr>
      <w:r>
        <w:rPr>
          <w:sz w:val="32"/>
        </w:rPr>
      </w:r>
    </w:p>
    <w:p>
      <w:pPr>
        <w:pStyle w:val="Normal"/>
        <w:rPr/>
      </w:pPr>
      <w:r>
        <w:rPr/>
      </w:r>
    </w:p>
    <w:p>
      <w:pPr>
        <w:pStyle w:val="Normal"/>
        <w:rPr/>
      </w:pPr>
      <w:r>
        <w:rPr/>
      </w:r>
    </w:p>
    <w:p>
      <w:pPr>
        <w:pStyle w:val="Normal"/>
        <w:rPr>
          <w:sz w:val="32"/>
        </w:rPr>
      </w:pPr>
      <w:r>
        <w:rPr>
          <w:sz w:val="32"/>
        </w:rPr>
        <w:t xml:space="preserve">Brownsville Power 1, L.L.C. </w:t>
      </w:r>
    </w:p>
    <w:p>
      <w:pPr>
        <w:pStyle w:val="Normal"/>
        <w:rPr>
          <w:sz w:val="32"/>
        </w:rPr>
      </w:pPr>
      <w:r>
        <w:rPr>
          <w:sz w:val="32"/>
        </w:rPr>
        <w:t>Brownsville, Tennessee</w:t>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rPr>
          <w:sz w:val="32"/>
        </w:rPr>
      </w:pPr>
      <w:r>
        <w:rPr>
          <w:sz w:val="32"/>
        </w:rPr>
        <w:t>ENRON/OEC</w:t>
      </w:r>
    </w:p>
    <w:p>
      <w:pPr>
        <w:pStyle w:val="Normal"/>
        <w:rPr>
          <w:sz w:val="32"/>
        </w:rPr>
      </w:pPr>
      <w:r>
        <w:rPr>
          <w:sz w:val="32"/>
        </w:rPr>
      </w:r>
    </w:p>
    <w:p>
      <w:pPr>
        <w:pStyle w:val="Normal"/>
        <w:jc w:val="center"/>
        <w:rPr>
          <w:sz w:val="28"/>
        </w:rPr>
      </w:pPr>
      <w:r>
        <w:rPr>
          <w:sz w:val="28"/>
        </w:rPr>
      </w:r>
    </w:p>
    <w:p>
      <w:pPr>
        <w:pStyle w:val="Heading4"/>
        <w:ind w:hanging="0" w:start="0"/>
        <w:rPr/>
      </w:pPr>
      <w:r>
        <w:rPr/>
        <w:t>Excess Emissions Report</w:t>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t>For Four Stationary Gas Turbines</w:t>
      </w:r>
    </w:p>
    <w:p>
      <w:pPr>
        <w:pStyle w:val="Normal"/>
        <w:jc w:val="center"/>
        <w:rPr>
          <w:sz w:val="28"/>
        </w:rPr>
      </w:pPr>
      <w:r>
        <w:rPr>
          <w:sz w:val="28"/>
        </w:rPr>
        <w:t>(Second-Half, 2000</w:t>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t>at</w:t>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32"/>
        </w:rPr>
      </w:pPr>
      <w:r>
        <w:rPr>
          <w:sz w:val="32"/>
        </w:rPr>
        <w:t>Brownsville Power 1, L.L.C.</w:t>
      </w:r>
    </w:p>
    <w:p>
      <w:pPr>
        <w:pStyle w:val="Normal"/>
        <w:jc w:val="center"/>
        <w:rPr>
          <w:sz w:val="32"/>
        </w:rPr>
      </w:pPr>
      <w:r>
        <w:rPr>
          <w:sz w:val="32"/>
        </w:rPr>
      </w:r>
    </w:p>
    <w:p>
      <w:pPr>
        <w:pStyle w:val="Normal"/>
        <w:jc w:val="center"/>
        <w:rPr>
          <w:sz w:val="32"/>
        </w:rPr>
      </w:pPr>
      <w:r>
        <w:rPr>
          <w:sz w:val="32"/>
        </w:rPr>
      </w:r>
    </w:p>
    <w:p>
      <w:pPr>
        <w:pStyle w:val="Normal"/>
        <w:jc w:val="center"/>
        <w:rPr>
          <w:sz w:val="32"/>
        </w:rPr>
      </w:pPr>
      <w:r>
        <w:rPr>
          <w:sz w:val="32"/>
        </w:rPr>
      </w:r>
    </w:p>
    <w:p>
      <w:pPr>
        <w:pStyle w:val="Heading3"/>
        <w:ind w:hanging="0" w:start="0"/>
        <w:rPr/>
      </w:pPr>
      <w:r>
        <w:rPr/>
        <w:t>July 31, 2000</w:t>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t>Submitted by;</w:t>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t>______________________________</w:t>
      </w:r>
    </w:p>
    <w:p>
      <w:pPr>
        <w:pStyle w:val="Normal"/>
        <w:jc w:val="center"/>
        <w:rPr>
          <w:sz w:val="28"/>
        </w:rPr>
      </w:pPr>
      <w:r>
        <w:rPr>
          <w:sz w:val="28"/>
        </w:rPr>
        <w:t>Mitchell D. Hurt</w:t>
      </w:r>
    </w:p>
    <w:p>
      <w:pPr>
        <w:pStyle w:val="Normal"/>
        <w:jc w:val="center"/>
        <w:rPr>
          <w:sz w:val="28"/>
        </w:rPr>
      </w:pPr>
      <w:r>
        <w:rPr>
          <w:sz w:val="28"/>
        </w:rPr>
        <w:t>Plant Manager</w:t>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Heading4"/>
        <w:ind w:hanging="0" w:start="0"/>
        <w:rPr/>
      </w:pPr>
      <w:r>
        <w:rPr/>
        <w:t>Project Background</w:t>
      </w:r>
    </w:p>
    <w:p>
      <w:pPr>
        <w:pStyle w:val="Normal"/>
        <w:rPr/>
      </w:pPr>
      <w:r>
        <w:rPr/>
      </w:r>
    </w:p>
    <w:p>
      <w:pPr>
        <w:pStyle w:val="Normal"/>
        <w:rPr/>
      </w:pPr>
      <w:r>
        <w:rPr/>
      </w:r>
    </w:p>
    <w:p>
      <w:pPr>
        <w:pStyle w:val="Normal"/>
        <w:rPr/>
      </w:pPr>
      <w:r>
        <w:rPr/>
      </w:r>
    </w:p>
    <w:p>
      <w:pPr>
        <w:pStyle w:val="Normal"/>
        <w:rPr>
          <w:sz w:val="24"/>
        </w:rPr>
      </w:pPr>
      <w:r>
        <w:rPr>
          <w:sz w:val="24"/>
        </w:rPr>
        <w:t>Name of Source Owner:</w:t>
        <w:tab/>
        <w:tab/>
        <w:tab/>
        <w:tab/>
        <w:tab/>
        <w:t>Brownsville Power 1, L.L.C.</w:t>
      </w:r>
    </w:p>
    <w:p>
      <w:pPr>
        <w:pStyle w:val="Normal"/>
        <w:rPr>
          <w:sz w:val="24"/>
        </w:rPr>
      </w:pPr>
      <w:r>
        <w:rPr>
          <w:sz w:val="24"/>
        </w:rPr>
      </w:r>
    </w:p>
    <w:p>
      <w:pPr>
        <w:pStyle w:val="Normal"/>
        <w:rPr>
          <w:sz w:val="24"/>
        </w:rPr>
      </w:pPr>
      <w:r>
        <w:rPr>
          <w:sz w:val="24"/>
        </w:rPr>
      </w:r>
    </w:p>
    <w:p>
      <w:pPr>
        <w:pStyle w:val="Normal"/>
        <w:rPr>
          <w:sz w:val="24"/>
        </w:rPr>
      </w:pPr>
      <w:r>
        <w:rPr>
          <w:sz w:val="24"/>
        </w:rPr>
        <w:t>Address of Owner:</w:t>
        <w:tab/>
        <w:tab/>
        <w:tab/>
        <w:tab/>
        <w:tab/>
        <w:tab/>
        <w:t>333 Clay Street, Suite 1800</w:t>
      </w:r>
    </w:p>
    <w:p>
      <w:pPr>
        <w:pStyle w:val="Normal"/>
        <w:rPr>
          <w:sz w:val="24"/>
        </w:rPr>
      </w:pPr>
      <w:r>
        <w:rPr>
          <w:sz w:val="24"/>
        </w:rPr>
        <w:tab/>
        <w:tab/>
        <w:tab/>
        <w:tab/>
        <w:tab/>
        <w:tab/>
        <w:tab/>
        <w:tab/>
        <w:t>Houston, TX  77002-7361</w:t>
      </w:r>
    </w:p>
    <w:p>
      <w:pPr>
        <w:pStyle w:val="Normal"/>
        <w:rPr>
          <w:sz w:val="24"/>
        </w:rPr>
      </w:pPr>
      <w:r>
        <w:rPr>
          <w:sz w:val="24"/>
        </w:rPr>
      </w:r>
    </w:p>
    <w:p>
      <w:pPr>
        <w:pStyle w:val="Normal"/>
        <w:rPr>
          <w:sz w:val="24"/>
        </w:rPr>
      </w:pPr>
      <w:r>
        <w:rPr>
          <w:sz w:val="24"/>
        </w:rPr>
      </w:r>
    </w:p>
    <w:p>
      <w:pPr>
        <w:pStyle w:val="Heading5"/>
        <w:rPr/>
      </w:pPr>
      <w:r>
        <w:rPr/>
        <w:t>Source Identification:</w:t>
        <w:tab/>
        <w:tab/>
        <w:tab/>
        <w:tab/>
        <w:tab/>
        <w:tab/>
        <w:t>Peaking Power Plant</w:t>
      </w:r>
    </w:p>
    <w:p>
      <w:pPr>
        <w:pStyle w:val="Normal"/>
        <w:ind w:hanging="1440" w:start="1440" w:end="0"/>
        <w:rPr>
          <w:sz w:val="24"/>
        </w:rPr>
      </w:pPr>
      <w:r>
        <w:rPr>
          <w:sz w:val="24"/>
        </w:rPr>
        <w:tab/>
        <w:tab/>
        <w:tab/>
        <w:tab/>
        <w:tab/>
        <w:tab/>
        <w:tab/>
        <w:t>With four (4) gas turbines</w:t>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t>Location of Source:</w:t>
        <w:tab/>
        <w:tab/>
        <w:tab/>
        <w:tab/>
        <w:tab/>
        <w:tab/>
        <w:t>948 Beechgrove Road</w:t>
      </w:r>
    </w:p>
    <w:p>
      <w:pPr>
        <w:pStyle w:val="Normal"/>
        <w:ind w:hanging="1440" w:start="1440" w:end="0"/>
        <w:rPr>
          <w:sz w:val="24"/>
        </w:rPr>
      </w:pPr>
      <w:r>
        <w:rPr>
          <w:sz w:val="24"/>
        </w:rPr>
        <w:tab/>
        <w:tab/>
        <w:tab/>
        <w:tab/>
        <w:tab/>
        <w:tab/>
        <w:tab/>
        <w:t>Brownsville, TN  38012</w:t>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t>Type of Operation:</w:t>
        <w:tab/>
        <w:tab/>
        <w:tab/>
        <w:tab/>
        <w:tab/>
        <w:tab/>
        <w:t>Peaking Power Plant</w:t>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t>Reporting Period:</w:t>
        <w:tab/>
        <w:tab/>
        <w:tab/>
        <w:tab/>
        <w:tab/>
        <w:tab/>
        <w:t>Jan 1 through June 30, 2000</w:t>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t>Owner’s Representative:</w:t>
        <w:tab/>
        <w:tab/>
        <w:tab/>
        <w:tab/>
        <w:tab/>
        <w:t>Mr. Gus Eghneim</w:t>
      </w:r>
    </w:p>
    <w:p>
      <w:pPr>
        <w:pStyle w:val="Normal"/>
        <w:ind w:hanging="1440" w:start="1440" w:end="0"/>
        <w:rPr>
          <w:sz w:val="24"/>
        </w:rPr>
      </w:pPr>
      <w:r>
        <w:rPr>
          <w:sz w:val="24"/>
        </w:rPr>
        <w:tab/>
        <w:tab/>
        <w:tab/>
        <w:tab/>
        <w:tab/>
        <w:tab/>
        <w:tab/>
        <w:t>Mr. Tom Callaghan</w:t>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Heading4"/>
        <w:ind w:hanging="0" w:start="0"/>
        <w:rPr/>
      </w:pPr>
      <w:r>
        <w:rPr/>
        <w:t>Table of Contents</w:t>
      </w:r>
    </w:p>
    <w:p>
      <w:pPr>
        <w:pStyle w:val="Normal"/>
        <w:ind w:hanging="1440" w:start="1440" w:end="0"/>
        <w:jc w:val="center"/>
        <w:rPr>
          <w:b/>
          <w:sz w:val="28"/>
        </w:rPr>
      </w:pPr>
      <w:r>
        <w:rPr>
          <w:b/>
          <w:sz w:val="28"/>
        </w:rPr>
      </w:r>
    </w:p>
    <w:p>
      <w:pPr>
        <w:pStyle w:val="Normal"/>
        <w:ind w:hanging="1440" w:start="1440" w:end="0"/>
        <w:jc w:val="center"/>
        <w:rPr>
          <w:b/>
          <w:sz w:val="28"/>
        </w:rPr>
      </w:pPr>
      <w:r>
        <w:rPr>
          <w:b/>
          <w:sz w:val="28"/>
        </w:rPr>
      </w:r>
    </w:p>
    <w:p>
      <w:pPr>
        <w:pStyle w:val="Normal"/>
        <w:ind w:hanging="1440" w:start="1440" w:end="0"/>
        <w:jc w:val="center"/>
        <w:rPr>
          <w:b/>
          <w:sz w:val="28"/>
        </w:rPr>
      </w:pPr>
      <w:r>
        <w:rPr>
          <w:b/>
          <w:sz w:val="28"/>
        </w:rPr>
      </w:r>
    </w:p>
    <w:p>
      <w:pPr>
        <w:pStyle w:val="Heading7"/>
        <w:ind w:hanging="0" w:start="0"/>
        <w:rPr/>
      </w:pPr>
      <w:r>
        <w:rPr/>
        <w:t>Section 1.0</w:t>
        <w:tab/>
        <w:t>Introduction……………………………………………………5</w:t>
      </w:r>
    </w:p>
    <w:p>
      <w:pPr>
        <w:pStyle w:val="Normal"/>
        <w:rPr>
          <w:sz w:val="24"/>
        </w:rPr>
      </w:pPr>
      <w:r>
        <w:rPr>
          <w:sz w:val="24"/>
        </w:rPr>
      </w:r>
    </w:p>
    <w:p>
      <w:pPr>
        <w:pStyle w:val="Normal"/>
        <w:rPr>
          <w:sz w:val="24"/>
        </w:rPr>
      </w:pPr>
      <w:r>
        <w:rPr>
          <w:sz w:val="24"/>
        </w:rPr>
        <w:t>Section 2.0</w:t>
        <w:tab/>
        <w:t>Source Description…………………………………………….6</w:t>
      </w:r>
    </w:p>
    <w:p>
      <w:pPr>
        <w:pStyle w:val="Normal"/>
        <w:rPr>
          <w:sz w:val="24"/>
        </w:rPr>
      </w:pPr>
      <w:r>
        <w:rPr>
          <w:sz w:val="24"/>
        </w:rPr>
      </w:r>
    </w:p>
    <w:p>
      <w:pPr>
        <w:pStyle w:val="Normal"/>
        <w:rPr>
          <w:sz w:val="24"/>
        </w:rPr>
      </w:pPr>
      <w:r>
        <w:rPr>
          <w:sz w:val="24"/>
        </w:rPr>
        <w:t>Section 3.0</w:t>
        <w:tab/>
        <w:t>Continuous Emission Monitoring System Description……….7</w:t>
      </w:r>
    </w:p>
    <w:p>
      <w:pPr>
        <w:pStyle w:val="Normal"/>
        <w:rPr>
          <w:sz w:val="24"/>
        </w:rPr>
      </w:pPr>
      <w:r>
        <w:rPr>
          <w:sz w:val="24"/>
        </w:rPr>
      </w:r>
    </w:p>
    <w:p>
      <w:pPr>
        <w:pStyle w:val="Normal"/>
        <w:rPr>
          <w:sz w:val="24"/>
        </w:rPr>
      </w:pPr>
      <w:r>
        <w:rPr>
          <w:sz w:val="24"/>
        </w:rPr>
        <w:t>Section 4.0</w:t>
        <w:tab/>
        <w:t>Facility Permit Conditions…………………………………….8</w:t>
      </w:r>
    </w:p>
    <w:p>
      <w:pPr>
        <w:pStyle w:val="Normal"/>
        <w:rPr>
          <w:sz w:val="24"/>
        </w:rPr>
      </w:pPr>
      <w:r>
        <w:rPr>
          <w:sz w:val="24"/>
        </w:rPr>
      </w:r>
    </w:p>
    <w:p>
      <w:pPr>
        <w:pStyle w:val="Normal"/>
        <w:rPr>
          <w:sz w:val="24"/>
        </w:rPr>
      </w:pPr>
      <w:r>
        <w:rPr>
          <w:sz w:val="24"/>
        </w:rPr>
        <w:t>Section 5.0</w:t>
        <w:tab/>
        <w:t>Excess Emission and Exceedences……………………………9</w:t>
      </w:r>
    </w:p>
    <w:p>
      <w:pPr>
        <w:pStyle w:val="Normal"/>
        <w:rPr>
          <w:sz w:val="24"/>
        </w:rPr>
      </w:pPr>
      <w:r>
        <w:rPr>
          <w:sz w:val="24"/>
        </w:rPr>
      </w:r>
    </w:p>
    <w:p>
      <w:pPr>
        <w:pStyle w:val="Normal"/>
        <w:rPr>
          <w:sz w:val="24"/>
        </w:rPr>
      </w:pPr>
      <w:r>
        <w:rPr>
          <w:sz w:val="24"/>
        </w:rPr>
        <w:t>Section 6.0</w:t>
        <w:tab/>
        <w:t>CGA/Linearity Results…………….………………………….10</w:t>
      </w:r>
    </w:p>
    <w:p>
      <w:pPr>
        <w:pStyle w:val="Normal"/>
        <w:rPr>
          <w:sz w:val="24"/>
        </w:rPr>
      </w:pPr>
      <w:r>
        <w:rPr>
          <w:sz w:val="24"/>
        </w:rPr>
      </w:r>
    </w:p>
    <w:p>
      <w:pPr>
        <w:pStyle w:val="Normal"/>
        <w:rPr>
          <w:sz w:val="24"/>
        </w:rPr>
      </w:pPr>
      <w:r>
        <w:rPr>
          <w:sz w:val="24"/>
        </w:rPr>
        <w:t>Table 1.0</w:t>
        <w:tab/>
        <w:t>Heat Input Log………………………………………………...11</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Normal"/>
        <w:ind w:hanging="1440" w:start="1440" w:end="0"/>
        <w:rPr>
          <w:sz w:val="24"/>
        </w:rPr>
      </w:pPr>
      <w:r>
        <w:rPr>
          <w:sz w:val="24"/>
        </w:rPr>
      </w:r>
    </w:p>
    <w:p>
      <w:pPr>
        <w:pStyle w:val="Heading4"/>
        <w:ind w:hanging="0" w:start="0"/>
        <w:rPr/>
      </w:pPr>
      <w:r>
        <w:rPr/>
        <w:t>Section 1.0</w:t>
      </w:r>
    </w:p>
    <w:p>
      <w:pPr>
        <w:pStyle w:val="Heading4"/>
        <w:ind w:hanging="0" w:start="0"/>
        <w:rPr/>
      </w:pPr>
      <w:r>
        <w:rPr/>
        <w:t>Introduction</w:t>
      </w:r>
    </w:p>
    <w:p>
      <w:pPr>
        <w:pStyle w:val="Normal"/>
        <w:ind w:hanging="1440" w:start="1440" w:end="0"/>
        <w:jc w:val="center"/>
        <w:rPr>
          <w:b/>
          <w:sz w:val="28"/>
        </w:rPr>
      </w:pPr>
      <w:r>
        <w:rPr>
          <w:b/>
          <w:sz w:val="28"/>
        </w:rPr>
      </w:r>
    </w:p>
    <w:p>
      <w:pPr>
        <w:pStyle w:val="Normal"/>
        <w:jc w:val="both"/>
        <w:rPr>
          <w:b/>
          <w:sz w:val="24"/>
        </w:rPr>
      </w:pPr>
      <w:r>
        <w:rPr>
          <w:b/>
          <w:sz w:val="24"/>
        </w:rPr>
      </w:r>
    </w:p>
    <w:p>
      <w:pPr>
        <w:pStyle w:val="Normal"/>
        <w:jc w:val="both"/>
        <w:rPr/>
      </w:pPr>
      <w:r>
        <w:rPr>
          <w:sz w:val="24"/>
        </w:rPr>
        <w:t>An Excess Emissions Report for four peaking gas turbines owned by Brownsville Power 1, L.L.C. (BPI) and located at Brownsville, Tennessee.  This report addresses continuous emission monitoring system (CEMS) data for the period of January 1, 2000 through June 30, 2000.  Parameters monitored by the CEMS include nitrogen oxides (NO</w:t>
      </w:r>
      <w:r>
        <w:rPr>
          <w:sz w:val="24"/>
          <w:vertAlign w:val="subscript"/>
        </w:rPr>
        <w:t>x</w:t>
      </w:r>
      <w:r>
        <w:rPr>
          <w:sz w:val="24"/>
        </w:rPr>
        <w:t>).  The purpose of the report is to satisfy 40 CFR Part 60.7 (c) and special conditions of the Air permit, as issued by the Tennessee Department of Environment and Conservation.  This requires a detailed excess emissions report, including facility and CEMS downtime and Linearity/Cylinder gas audit (CGA) results, to be submitted semi-annually to TDEC.</w:t>
      </w:r>
    </w:p>
    <w:p>
      <w:pPr>
        <w:pStyle w:val="Normal"/>
        <w:jc w:val="both"/>
        <w:rPr>
          <w:sz w:val="24"/>
        </w:rPr>
      </w:pPr>
      <w:r>
        <w:rPr>
          <w:sz w:val="24"/>
        </w:rPr>
      </w:r>
    </w:p>
    <w:p>
      <w:pPr>
        <w:pStyle w:val="Normal"/>
        <w:jc w:val="both"/>
        <w:rPr>
          <w:sz w:val="24"/>
        </w:rPr>
      </w:pPr>
      <w:r>
        <w:rPr>
          <w:sz w:val="24"/>
        </w:rPr>
        <w:t>CEMS data for the period of January 1 through June 30, 2000 were reviewed and emission exceedances, based on permit conditions, were identified.  Facility and CEMS operating logs were reviewed and downtime periods identified.  All results and summary tables presented in Section 5.0 are in a format consistent with those specified in Title 40 of the Code of Federal Regulations-“Standards of Performance for New Stationary Sources,” Part 60 Subpart A-Section 60.7.</w:t>
      </w:r>
    </w:p>
    <w:p>
      <w:pPr>
        <w:pStyle w:val="Normal"/>
        <w:jc w:val="both"/>
        <w:rPr>
          <w:sz w:val="24"/>
        </w:rPr>
      </w:pPr>
      <w:r>
        <w:rPr>
          <w:sz w:val="24"/>
        </w:rPr>
      </w:r>
    </w:p>
    <w:p>
      <w:pPr>
        <w:pStyle w:val="Normal"/>
        <w:jc w:val="both"/>
        <w:rPr>
          <w:sz w:val="24"/>
        </w:rPr>
      </w:pPr>
      <w:r>
        <w:rPr>
          <w:sz w:val="24"/>
        </w:rPr>
        <w:t>In general, emissions of monitored parameters were within limits for the majority of the reporting period. These exceedences were primarily attributed to the startup and shutdown of the four gas turbines, along with steam/water injection (process control) equipment problems.  Further details regarding these exceedences can be found in Section 5.1 of this report.</w:t>
      </w:r>
    </w:p>
    <w:p>
      <w:pPr>
        <w:pStyle w:val="Normal"/>
        <w:jc w:val="both"/>
        <w:rPr>
          <w:sz w:val="24"/>
        </w:rPr>
      </w:pPr>
      <w:r>
        <w:rPr>
          <w:sz w:val="24"/>
        </w:rPr>
      </w:r>
    </w:p>
    <w:p>
      <w:pPr>
        <w:pStyle w:val="Normal"/>
        <w:jc w:val="both"/>
        <w:rPr>
          <w:sz w:val="24"/>
        </w:rPr>
      </w:pPr>
      <w:r>
        <w:rPr>
          <w:sz w:val="24"/>
        </w:rPr>
        <w:t xml:space="preserve">The Facility CEMS data availability was within the established 90 percent requirement during the reporting period.  Results of the CGA conducted on the Facility during the reporting period were within the criteria required for compliance determination and are presented in Section 5.2 of this report. </w:t>
      </w:r>
    </w:p>
    <w:p>
      <w:pPr>
        <w:pStyle w:val="Normal"/>
        <w:jc w:val="both"/>
        <w:rPr>
          <w:sz w:val="24"/>
        </w:rPr>
      </w:pPr>
      <w:r>
        <w:rPr>
          <w:sz w:val="24"/>
        </w:rPr>
      </w:r>
    </w:p>
    <w:p>
      <w:pPr>
        <w:pStyle w:val="Normal"/>
        <w:jc w:val="both"/>
        <w:rPr>
          <w:sz w:val="24"/>
        </w:rPr>
      </w:pPr>
      <w:r>
        <w:rPr>
          <w:sz w:val="24"/>
        </w:rPr>
      </w:r>
    </w:p>
    <w:p>
      <w:pPr>
        <w:pStyle w:val="Normal"/>
        <w:jc w:val="both"/>
        <w:rPr/>
      </w:pPr>
      <w:r>
        <w:rPr/>
      </w:r>
    </w:p>
    <w:p>
      <w:pPr>
        <w:pStyle w:val="Normal"/>
        <w:jc w:val="bot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both"/>
        <w:rPr/>
      </w:pPr>
      <w:r>
        <w:rPr/>
      </w:r>
    </w:p>
    <w:p>
      <w:pPr>
        <w:pStyle w:val="Normal"/>
        <w:jc w:val="both"/>
        <w:rPr/>
      </w:pPr>
      <w:r>
        <w:rPr/>
      </w:r>
    </w:p>
    <w:p>
      <w:pPr>
        <w:pStyle w:val="Heading4"/>
        <w:ind w:hanging="0" w:start="0"/>
        <w:rPr/>
      </w:pPr>
      <w:r>
        <w:rPr/>
        <w:t>Section 2.0</w:t>
      </w:r>
    </w:p>
    <w:p>
      <w:pPr>
        <w:pStyle w:val="Heading4"/>
        <w:ind w:hanging="0" w:start="0"/>
        <w:rPr/>
      </w:pPr>
      <w:r>
        <w:rPr/>
        <w:t>Source Description</w:t>
      </w:r>
    </w:p>
    <w:p>
      <w:pPr>
        <w:pStyle w:val="Normal"/>
        <w:rPr>
          <w:sz w:val="28"/>
        </w:rPr>
      </w:pPr>
      <w:r>
        <w:rPr>
          <w:sz w:val="28"/>
        </w:rPr>
      </w:r>
    </w:p>
    <w:p>
      <w:pPr>
        <w:pStyle w:val="BodyText"/>
        <w:rPr/>
      </w:pPr>
      <w:r>
        <w:rPr/>
        <w:t>The Brownsville Power 1, L.L.C. Facility in Brownsville, Tennessee is a peaking power plant with four (4) gas turbine generators.  The plant operates at a gross output of 460 MW.</w:t>
      </w:r>
    </w:p>
    <w:p>
      <w:pPr>
        <w:pStyle w:val="Normal"/>
        <w:jc w:val="both"/>
        <w:rPr>
          <w:sz w:val="24"/>
        </w:rPr>
      </w:pPr>
      <w:r>
        <w:rPr>
          <w:sz w:val="24"/>
        </w:rPr>
      </w:r>
    </w:p>
    <w:p>
      <w:pPr>
        <w:pStyle w:val="Normal"/>
        <w:jc w:val="both"/>
        <w:rPr/>
      </w:pPr>
      <w:r>
        <w:rPr>
          <w:sz w:val="24"/>
        </w:rPr>
        <w:t>The facility consists of two (2) Westinghouse 501D5 and two (2) Westinghouse 501D5A gas turbine generators with Westinghouse Powerlogic II control systems.  Exhaust gas from the two (2) 501D5 turbines is directed to two (2) Once Through Steam Generators (OTSG).  The steam from each OTSG will be injected into the respective turbine for control of NO</w:t>
      </w:r>
      <w:r>
        <w:rPr>
          <w:sz w:val="24"/>
          <w:vertAlign w:val="subscript"/>
        </w:rPr>
        <w:t>x</w:t>
      </w:r>
      <w:r>
        <w:rPr>
          <w:sz w:val="24"/>
        </w:rPr>
        <w:t xml:space="preserve"> emissions.  Each of the two (2) 501D5A turbines are equipped with a water injection system for control of NO</w:t>
      </w:r>
      <w:r>
        <w:rPr>
          <w:sz w:val="24"/>
          <w:vertAlign w:val="subscript"/>
        </w:rPr>
        <w:t>x</w:t>
      </w:r>
      <w:r>
        <w:rPr>
          <w:sz w:val="24"/>
        </w:rPr>
        <w:t xml:space="preserve"> emissions and its own exhaust stack.  All units have an installed evaporative cooling inlet air system.</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4"/>
        <w:ind w:hanging="0" w:start="0"/>
        <w:rPr/>
      </w:pPr>
      <w:r>
        <w:rPr/>
        <w:t>Section 3.0</w:t>
      </w:r>
    </w:p>
    <w:p>
      <w:pPr>
        <w:pStyle w:val="Heading4"/>
        <w:ind w:hanging="0" w:start="0"/>
        <w:rPr/>
      </w:pPr>
      <w:r>
        <w:rPr/>
        <w:t>Continuous Emission Monitoring System Description</w:t>
      </w:r>
    </w:p>
    <w:p>
      <w:pPr>
        <w:pStyle w:val="Heading4"/>
        <w:ind w:hanging="0" w:start="0"/>
        <w:rPr/>
      </w:pPr>
      <w:r>
        <w:rPr/>
      </w:r>
    </w:p>
    <w:p>
      <w:pPr>
        <w:pStyle w:val="BodyText2"/>
        <w:jc w:val="both"/>
        <w:rPr/>
      </w:pPr>
      <w:r>
        <w:rPr/>
        <w:t>To meet the requirements of the Environmental Protection Agency (EPA) and the Tennessee Air Pollution Control Board, BPI installed two (2) Continuous Emission Monitoring Systems from KVB-Enertec.</w:t>
      </w:r>
    </w:p>
    <w:p>
      <w:pPr>
        <w:pStyle w:val="BodyText2"/>
        <w:jc w:val="both"/>
        <w:rPr/>
      </w:pPr>
      <w:r>
        <w:rPr/>
      </w:r>
    </w:p>
    <w:p>
      <w:pPr>
        <w:pStyle w:val="BodyText2"/>
        <w:jc w:val="both"/>
        <w:rPr/>
      </w:pPr>
      <w:r>
        <w:rPr/>
        <w:t>The CEMS are dry extractive systems with analyzers to measure NO</w:t>
      </w:r>
      <w:r>
        <w:rPr>
          <w:vertAlign w:val="subscript"/>
        </w:rPr>
        <w:t>x</w:t>
      </w:r>
      <w:r>
        <w:rPr/>
        <w:t xml:space="preserve"> and O</w:t>
      </w:r>
      <w:r>
        <w:rPr>
          <w:vertAlign w:val="subscript"/>
        </w:rPr>
        <w:t xml:space="preserve">2. </w:t>
      </w:r>
      <w:r>
        <w:rPr/>
        <w:t xml:space="preserve"> The instruments included in the CEMS are API Model 252 NO</w:t>
      </w:r>
      <w:r>
        <w:rPr>
          <w:vertAlign w:val="subscript"/>
        </w:rPr>
        <w:t xml:space="preserve">x </w:t>
      </w:r>
      <w:r>
        <w:rPr/>
        <w:t>analyzers and Servomex 1440C O</w:t>
      </w:r>
      <w:r>
        <w:rPr>
          <w:vertAlign w:val="subscript"/>
        </w:rPr>
        <w:t xml:space="preserve">2 </w:t>
      </w:r>
      <w:r>
        <w:rPr/>
        <w:t>analyzers.  The two CEMS are located in individual shelters. Each CEM is a two-point timeshare system.  The two CEMS are controlled by individual GE 90-30 Programmable logic Controllers (PLCs).  The PLC transmits data to a KVB-Enertec Data Acquisition and Handling System (DAHS).</w:t>
      </w:r>
    </w:p>
    <w:p>
      <w:pPr>
        <w:pStyle w:val="Normal"/>
        <w:jc w:val="both"/>
        <w:rPr/>
      </w:pPr>
      <w:r>
        <w:rPr/>
      </w:r>
    </w:p>
    <w:p>
      <w:pPr>
        <w:pStyle w:val="Normal"/>
        <w:jc w:val="both"/>
        <w:rPr/>
      </w:pPr>
      <w:r>
        <w:rPr/>
      </w:r>
    </w:p>
    <w:p>
      <w:pPr>
        <w:pStyle w:val="Normal"/>
        <w:jc w:val="both"/>
        <w:rPr>
          <w:sz w:val="24"/>
        </w:rPr>
      </w:pPr>
      <w:r>
        <w:rPr>
          <w:sz w:val="24"/>
        </w:rPr>
      </w:r>
    </w:p>
    <w:p>
      <w:pPr>
        <w:pStyle w:val="Normal"/>
        <w:jc w:val="both"/>
        <w:rPr>
          <w:sz w:val="24"/>
        </w:rPr>
      </w:pPr>
      <w:r>
        <w:rPr>
          <w:sz w:val="24"/>
        </w:rPr>
      </w:r>
    </w:p>
    <w:p>
      <w:pPr>
        <w:pStyle w:val="Normal"/>
        <w:jc w:val="both"/>
        <w:rPr/>
      </w:pPr>
      <w:r>
        <w:rPr/>
      </w:r>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4"/>
        <w:ind w:hanging="0" w:start="0"/>
        <w:rPr/>
      </w:pPr>
      <w:r>
        <w:rPr/>
        <w:t>Section 4.0</w:t>
      </w:r>
    </w:p>
    <w:p>
      <w:pPr>
        <w:pStyle w:val="Heading4"/>
        <w:ind w:hanging="0" w:start="0"/>
        <w:rPr/>
      </w:pPr>
      <w:r>
        <w:rPr/>
        <w:t>Facility Permit Conditions</w:t>
      </w:r>
    </w:p>
    <w:p>
      <w:pPr>
        <w:pStyle w:val="Normal"/>
        <w:rPr>
          <w:sz w:val="28"/>
        </w:rPr>
      </w:pPr>
      <w:r>
        <w:rPr>
          <w:sz w:val="28"/>
        </w:rPr>
      </w:r>
    </w:p>
    <w:p>
      <w:pPr>
        <w:pStyle w:val="Heading7"/>
        <w:ind w:hanging="0" w:start="0"/>
        <w:rPr/>
      </w:pPr>
      <w:r>
        <w:rPr/>
        <w:t>NO</w:t>
      </w:r>
      <w:r>
        <w:rPr>
          <w:vertAlign w:val="subscript"/>
        </w:rPr>
        <w:t xml:space="preserve">x </w:t>
      </w:r>
      <w:r>
        <w:rPr/>
        <w:t>emissions limits for each turbine specified by TDEC permit conditions are outlined below.</w:t>
      </w:r>
    </w:p>
    <w:p>
      <w:pPr>
        <w:pStyle w:val="Normal"/>
        <w:rPr/>
      </w:pPr>
      <w:r>
        <w:rPr/>
      </w:r>
    </w:p>
    <w:p>
      <w:pPr>
        <w:pStyle w:val="Normal"/>
        <w:numPr>
          <w:ilvl w:val="0"/>
          <w:numId w:val="5"/>
        </w:numPr>
        <w:rPr/>
      </w:pPr>
      <w:r>
        <w:rPr>
          <w:sz w:val="24"/>
        </w:rPr>
        <w:t>The total annual heat input for this source shall not exceed 7,127,857 MMBTUs per calendar year based on the higher heating value (HHV) of the fuel combusted.</w:t>
      </w:r>
    </w:p>
    <w:p>
      <w:pPr>
        <w:pStyle w:val="Normal"/>
        <w:rPr>
          <w:sz w:val="24"/>
        </w:rPr>
      </w:pPr>
      <w:r>
        <w:rPr>
          <w:sz w:val="24"/>
        </w:rPr>
      </w:r>
    </w:p>
    <w:p>
      <w:pPr>
        <w:pStyle w:val="Normal"/>
        <w:numPr>
          <w:ilvl w:val="0"/>
          <w:numId w:val="2"/>
        </w:numPr>
        <w:rPr/>
      </w:pPr>
      <w:r>
        <w:rPr>
          <w:sz w:val="24"/>
        </w:rPr>
        <w:t>NO</w:t>
      </w:r>
      <w:r>
        <w:rPr>
          <w:sz w:val="24"/>
          <w:vertAlign w:val="subscript"/>
        </w:rPr>
        <w:t>x</w:t>
      </w:r>
      <w:r>
        <w:rPr>
          <w:sz w:val="24"/>
        </w:rPr>
        <w:t xml:space="preserve"> emission limit is 0.057 lb/MMBTU, HHV for the 501-D5 gas turbines</w:t>
      </w:r>
    </w:p>
    <w:p>
      <w:pPr>
        <w:pStyle w:val="Normal"/>
        <w:rPr>
          <w:sz w:val="24"/>
        </w:rPr>
      </w:pPr>
      <w:r>
        <w:rPr>
          <w:sz w:val="24"/>
        </w:rPr>
      </w:r>
    </w:p>
    <w:p>
      <w:pPr>
        <w:pStyle w:val="Normal"/>
        <w:numPr>
          <w:ilvl w:val="0"/>
          <w:numId w:val="4"/>
        </w:numPr>
        <w:rPr/>
      </w:pPr>
      <w:r>
        <w:rPr>
          <w:sz w:val="24"/>
        </w:rPr>
        <w:t>NO</w:t>
      </w:r>
      <w:r>
        <w:rPr>
          <w:sz w:val="24"/>
          <w:vertAlign w:val="subscript"/>
        </w:rPr>
        <w:t>x</w:t>
      </w:r>
      <w:r>
        <w:rPr>
          <w:sz w:val="24"/>
        </w:rPr>
        <w:t xml:space="preserve"> emission limit is 0.090 lb/MMBTU, HHV for the 501-D5A gas turbines</w:t>
      </w:r>
    </w:p>
    <w:p>
      <w:pPr>
        <w:pStyle w:val="Normal"/>
        <w:rPr>
          <w:sz w:val="24"/>
        </w:rPr>
      </w:pPr>
      <w:r>
        <w:rPr>
          <w:sz w:val="24"/>
        </w:rPr>
      </w:r>
    </w:p>
    <w:p>
      <w:pPr>
        <w:pStyle w:val="Normal"/>
        <w:numPr>
          <w:ilvl w:val="0"/>
          <w:numId w:val="3"/>
        </w:numPr>
        <w:rPr/>
      </w:pPr>
      <w:r>
        <w:rPr>
          <w:sz w:val="24"/>
        </w:rPr>
        <w:t>May not exceed 249 Total Tons per Year of NO</w:t>
      </w:r>
      <w:r>
        <w:rPr>
          <w:sz w:val="24"/>
          <w:vertAlign w:val="subscript"/>
        </w:rPr>
        <w:t>x</w:t>
      </w:r>
    </w:p>
    <w:p>
      <w:pPr>
        <w:pStyle w:val="Normal"/>
        <w:rPr>
          <w:sz w:val="24"/>
          <w:vertAlign w:val="subscript"/>
        </w:rPr>
      </w:pPr>
      <w:r>
        <w:rPr>
          <w:sz w:val="24"/>
          <w:vertAlign w:val="subscript"/>
        </w:rPr>
      </w:r>
    </w:p>
    <w:p>
      <w:pPr>
        <w:pStyle w:val="Normal"/>
        <w:rPr>
          <w:sz w:val="24"/>
          <w:vertAlign w:val="subscript"/>
        </w:rPr>
      </w:pPr>
      <w:r>
        <w:rPr>
          <w:sz w:val="24"/>
          <w:vertAlign w:val="subscript"/>
        </w:rPr>
      </w:r>
    </w:p>
    <w:p>
      <w:pPr>
        <w:pStyle w:val="Normal"/>
        <w:rPr>
          <w:sz w:val="24"/>
        </w:rPr>
      </w:pPr>
      <w:r>
        <w:rPr>
          <w:sz w:val="24"/>
        </w:rPr>
        <w:t>Further information regarding these emission limits and CEMS requirements can be found in the special conditions of the Facilities Air permit.</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4"/>
        <w:ind w:hanging="0" w:start="0"/>
        <w:rPr/>
      </w:pPr>
      <w:r>
        <w:rPr/>
        <w:t>Section 5.0</w:t>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sz w:val="36"/>
        </w:rPr>
      </w:pPr>
      <w:r>
        <w:rPr>
          <w:sz w:val="36"/>
        </w:rPr>
        <w:t>Excess Emissions and Exceedances</w:t>
      </w:r>
    </w:p>
    <w:p>
      <w:pPr>
        <w:pStyle w:val="Normal"/>
        <w:rPr>
          <w:sz w:val="36"/>
        </w:rPr>
      </w:pPr>
      <w:r>
        <w:rPr>
          <w:sz w:val="3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4"/>
        <w:ind w:hanging="0" w:start="0"/>
        <w:rPr/>
      </w:pPr>
      <w:r>
        <w:rPr/>
        <w:t>Section 6.0</w:t>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sz w:val="36"/>
        </w:rPr>
      </w:pPr>
      <w:r>
        <w:rPr>
          <w:sz w:val="36"/>
        </w:rPr>
        <w:t>CGA/Linearity Test Results</w:t>
      </w:r>
    </w:p>
    <w:p>
      <w:pPr>
        <w:pStyle w:val="Normal"/>
        <w:rPr>
          <w:sz w:val="36"/>
        </w:rPr>
      </w:pPr>
      <w:r>
        <w:rPr>
          <w:sz w:val="3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4"/>
        <w:ind w:hanging="0" w:start="0"/>
        <w:rPr/>
      </w:pPr>
      <w:r>
        <w:rPr/>
        <w:t>Table 1.0</w:t>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sz w:val="36"/>
        </w:rPr>
      </w:pPr>
      <w:r>
        <w:rPr>
          <w:sz w:val="36"/>
        </w:rPr>
        <w:t>Heat Input Log</w:t>
      </w:r>
    </w:p>
    <w:p>
      <w:pPr>
        <w:pStyle w:val="Normal"/>
        <w:rPr>
          <w:sz w:val="36"/>
        </w:rPr>
      </w:pPr>
      <w:r>
        <w:rPr>
          <w:sz w:val="3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Normal"/>
        <w:rPr/>
      </w:pPr>
      <w:r>
        <w:rPr/>
      </w:r>
    </w:p>
    <w:p>
      <w:pPr>
        <w:pStyle w:val="Heading4"/>
        <w:ind w:hanging="0" w:start="0"/>
        <w:rPr/>
      </w:pPr>
      <w:r>
        <w:rPr/>
        <w:t>Monthly Log of Fuel Heat Content, Fuel Usage, and Total Heat Input</w:t>
      </w:r>
    </w:p>
    <w:p>
      <w:pPr>
        <w:pStyle w:val="Normal"/>
        <w:jc w:val="both"/>
        <w:rPr/>
      </w:pPr>
      <w:r>
        <w:rPr/>
      </w:r>
    </w:p>
    <w:p>
      <w:pPr>
        <w:pStyle w:val="Normal"/>
        <w:jc w:val="both"/>
        <w:rPr>
          <w:sz w:val="22"/>
        </w:rPr>
      </w:pPr>
      <w:r>
        <w:rPr>
          <w:sz w:val="22"/>
        </w:rPr>
      </w:r>
    </w:p>
    <w:tbl>
      <w:tblPr>
        <w:tblW w:w="13980" w:type="dxa"/>
        <w:jc w:val="start"/>
        <w:tblInd w:w="0" w:type="dxa"/>
        <w:tblLayout w:type="fixed"/>
        <w:tblCellMar>
          <w:top w:w="0" w:type="dxa"/>
          <w:start w:w="30" w:type="dxa"/>
          <w:bottom w:w="0" w:type="dxa"/>
          <w:end w:w="30" w:type="dxa"/>
        </w:tblCellMar>
      </w:tblPr>
      <w:tblGrid>
        <w:gridCol w:w="1238"/>
        <w:gridCol w:w="3677"/>
        <w:gridCol w:w="2938"/>
        <w:gridCol w:w="3360"/>
        <w:gridCol w:w="2767"/>
      </w:tblGrid>
      <w:tr>
        <w:trPr>
          <w:trHeight w:val="336" w:hRule="atLeast"/>
        </w:trPr>
        <w:tc>
          <w:tcPr>
            <w:tcW w:w="1238"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b/>
                <w:color w:val="000000"/>
                <w:sz w:val="22"/>
                <w:lang w:eastAsia="en-US"/>
              </w:rPr>
            </w:pPr>
            <w:r>
              <w:rPr>
                <w:rFonts w:cs="Arial" w:ascii="Arial" w:hAnsi="Arial"/>
                <w:b/>
                <w:color w:val="000000"/>
                <w:sz w:val="22"/>
                <w:lang w:eastAsia="en-US"/>
              </w:rPr>
              <w:t>Jan-00</w:t>
            </w:r>
          </w:p>
        </w:tc>
        <w:tc>
          <w:tcPr>
            <w:tcW w:w="3677"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c>
          <w:tcPr>
            <w:tcW w:w="2938"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3360"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2767"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53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cs="Arial" w:ascii="Arial" w:hAnsi="Arial"/>
                <w:b/>
                <w:color w:val="000000"/>
                <w:sz w:val="22"/>
                <w:lang w:eastAsia="en-US"/>
              </w:rPr>
              <w:t>Unit ID</w:t>
            </w:r>
          </w:p>
        </w:tc>
        <w:tc>
          <w:tcPr>
            <w:tcW w:w="3677"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b/>
                <w:color w:val="000000"/>
                <w:sz w:val="22"/>
                <w:lang w:eastAsia="en-US"/>
              </w:rPr>
              <w:t>Heat Content of Fuel (BTU/ft</w:t>
            </w:r>
            <w:r>
              <w:rPr>
                <w:rFonts w:cs="Arial" w:ascii="Arial" w:hAnsi="Arial"/>
                <w:b/>
                <w:color w:val="000000"/>
                <w:sz w:val="22"/>
                <w:vertAlign w:val="superscript"/>
                <w:lang w:eastAsia="en-US"/>
              </w:rPr>
              <w:t>3</w:t>
            </w:r>
            <w:r>
              <w:rPr>
                <w:rFonts w:cs="Arial" w:ascii="Arial" w:hAnsi="Arial"/>
                <w:b/>
                <w:color w:val="000000"/>
                <w:sz w:val="22"/>
                <w:lang w:eastAsia="en-US"/>
              </w:rPr>
              <w:t>)</w:t>
            </w:r>
          </w:p>
        </w:tc>
        <w:tc>
          <w:tcPr>
            <w:tcW w:w="2938"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b/>
                <w:color w:val="000000"/>
                <w:sz w:val="22"/>
                <w:lang w:eastAsia="en-US"/>
              </w:rPr>
              <w:t>Fuel Usage (ft</w:t>
            </w:r>
            <w:r>
              <w:rPr>
                <w:rFonts w:cs="Arial" w:ascii="Arial" w:hAnsi="Arial"/>
                <w:b/>
                <w:color w:val="000000"/>
                <w:sz w:val="22"/>
                <w:vertAlign w:val="superscript"/>
                <w:lang w:eastAsia="en-US"/>
              </w:rPr>
              <w:t>3</w:t>
            </w:r>
            <w:r>
              <w:rPr>
                <w:rFonts w:cs="Arial" w:ascii="Arial" w:hAnsi="Arial"/>
                <w:b/>
                <w:color w:val="000000"/>
                <w:sz w:val="22"/>
                <w:lang w:eastAsia="en-US"/>
              </w:rPr>
              <w:t>/month)</w:t>
            </w:r>
          </w:p>
        </w:tc>
        <w:tc>
          <w:tcPr>
            <w:tcW w:w="3360"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b/>
                <w:color w:val="000000"/>
                <w:sz w:val="22"/>
                <w:lang w:eastAsia="en-US"/>
              </w:rPr>
              <w:t xml:space="preserve">Heat Input  (MMBTU/month) </w:t>
            </w:r>
            <w:r>
              <w:rPr>
                <w:rFonts w:cs="Arial" w:ascii="Arial" w:hAnsi="Arial"/>
                <w:color w:val="000000"/>
                <w:sz w:val="22"/>
                <w:lang w:eastAsia="en-US"/>
              </w:rPr>
              <w:t>(as calculated on site)</w:t>
            </w:r>
          </w:p>
        </w:tc>
        <w:tc>
          <w:tcPr>
            <w:tcW w:w="2767"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b/>
                <w:color w:val="000000"/>
                <w:sz w:val="22"/>
                <w:lang w:eastAsia="en-US"/>
              </w:rPr>
              <w:t xml:space="preserve">Heat Input  (MMBTU/month) </w:t>
            </w:r>
            <w:r>
              <w:rPr>
                <w:rFonts w:cs="Arial" w:ascii="Arial" w:hAnsi="Arial"/>
                <w:color w:val="000000"/>
                <w:sz w:val="22"/>
                <w:lang w:eastAsia="en-US"/>
              </w:rPr>
              <w:t>(as calculated by ANR)</w:t>
            </w:r>
          </w:p>
        </w:tc>
      </w:tr>
      <w:tr>
        <w:trPr>
          <w:trHeight w:val="28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AA-001</w:t>
            </w:r>
          </w:p>
        </w:tc>
        <w:tc>
          <w:tcPr>
            <w:tcW w:w="3677" w:type="dxa"/>
            <w:tcBorders>
              <w:top w:val="single" w:sz="6" w:space="0" w:color="000000"/>
              <w:start w:val="single" w:sz="6"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1,072.00 </w:t>
            </w:r>
          </w:p>
        </w:tc>
        <w:tc>
          <w:tcPr>
            <w:tcW w:w="2938" w:type="dxa"/>
            <w:tcBorders>
              <w:top w:val="single" w:sz="6"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58,499,627.11 </w:t>
            </w:r>
          </w:p>
        </w:tc>
        <w:tc>
          <w:tcPr>
            <w:tcW w:w="3360" w:type="dxa"/>
            <w:tcBorders>
              <w:top w:val="single" w:sz="6" w:space="0" w:color="000000"/>
              <w:start w:val="single" w:sz="2" w:space="0" w:color="000000"/>
              <w:bottom w:val="single" w:sz="2" w:space="0" w:color="000000"/>
              <w:end w:val="single" w:sz="6"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62,711.60 </w:t>
            </w:r>
          </w:p>
        </w:tc>
        <w:tc>
          <w:tcPr>
            <w:tcW w:w="2767"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8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AA-002</w:t>
            </w:r>
          </w:p>
        </w:tc>
        <w:tc>
          <w:tcPr>
            <w:tcW w:w="3677" w:type="dxa"/>
            <w:tcBorders>
              <w:top w:val="single" w:sz="2" w:space="0" w:color="000000"/>
              <w:start w:val="single" w:sz="6"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1,072.00 </w:t>
            </w:r>
          </w:p>
        </w:tc>
        <w:tc>
          <w:tcPr>
            <w:tcW w:w="2938"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69,532,680.56 </w:t>
            </w:r>
          </w:p>
        </w:tc>
        <w:tc>
          <w:tcPr>
            <w:tcW w:w="3360" w:type="dxa"/>
            <w:tcBorders>
              <w:top w:val="single" w:sz="2" w:space="0" w:color="000000"/>
              <w:start w:val="single" w:sz="2" w:space="0" w:color="000000"/>
              <w:bottom w:val="single" w:sz="2" w:space="0" w:color="000000"/>
              <w:end w:val="single" w:sz="6"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74,539.03 </w:t>
            </w:r>
          </w:p>
        </w:tc>
        <w:tc>
          <w:tcPr>
            <w:tcW w:w="2767" w:type="dxa"/>
            <w:tcBorders>
              <w:start w:val="single" w:sz="6" w:space="0" w:color="000000"/>
              <w:end w:val="single" w:sz="6" w:space="0" w:color="000000"/>
            </w:tcBorders>
            <w:shd w:fill="C0C0C0"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8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AA-003</w:t>
            </w:r>
          </w:p>
        </w:tc>
        <w:tc>
          <w:tcPr>
            <w:tcW w:w="3677" w:type="dxa"/>
            <w:tcBorders>
              <w:top w:val="single" w:sz="2" w:space="0" w:color="000000"/>
              <w:start w:val="single" w:sz="6"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1,072.00 </w:t>
            </w:r>
          </w:p>
        </w:tc>
        <w:tc>
          <w:tcPr>
            <w:tcW w:w="2938"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93,771,669.88 </w:t>
            </w:r>
          </w:p>
        </w:tc>
        <w:tc>
          <w:tcPr>
            <w:tcW w:w="3360" w:type="dxa"/>
            <w:tcBorders>
              <w:top w:val="single" w:sz="2" w:space="0" w:color="000000"/>
              <w:start w:val="single" w:sz="2" w:space="0" w:color="000000"/>
              <w:bottom w:val="single" w:sz="2" w:space="0" w:color="000000"/>
              <w:end w:val="single" w:sz="6"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100,523.23 </w:t>
            </w:r>
          </w:p>
        </w:tc>
        <w:tc>
          <w:tcPr>
            <w:tcW w:w="2767" w:type="dxa"/>
            <w:tcBorders>
              <w:start w:val="single" w:sz="6" w:space="0" w:color="000000"/>
              <w:end w:val="single" w:sz="6" w:space="0" w:color="000000"/>
            </w:tcBorders>
            <w:shd w:fill="C0C0C0"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8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AA-004</w:t>
            </w:r>
          </w:p>
        </w:tc>
        <w:tc>
          <w:tcPr>
            <w:tcW w:w="3677" w:type="dxa"/>
            <w:tcBorders>
              <w:top w:val="single" w:sz="2" w:space="0" w:color="000000"/>
              <w:start w:val="single" w:sz="6"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1,072.00 </w:t>
            </w:r>
          </w:p>
        </w:tc>
        <w:tc>
          <w:tcPr>
            <w:tcW w:w="2938"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89,357,567.61 </w:t>
            </w:r>
          </w:p>
        </w:tc>
        <w:tc>
          <w:tcPr>
            <w:tcW w:w="3360" w:type="dxa"/>
            <w:tcBorders>
              <w:top w:val="single" w:sz="2" w:space="0" w:color="000000"/>
              <w:start w:val="single" w:sz="2" w:space="0" w:color="000000"/>
              <w:bottom w:val="single" w:sz="2" w:space="0" w:color="000000"/>
              <w:end w:val="single" w:sz="6"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95,791.31 </w:t>
            </w:r>
          </w:p>
        </w:tc>
        <w:tc>
          <w:tcPr>
            <w:tcW w:w="2767" w:type="dxa"/>
            <w:tcBorders>
              <w:start w:val="single" w:sz="6" w:space="0" w:color="000000"/>
              <w:end w:val="single" w:sz="6" w:space="0" w:color="000000"/>
            </w:tcBorders>
            <w:shd w:fill="C0C0C0"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8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AA-005</w:t>
            </w:r>
          </w:p>
        </w:tc>
        <w:tc>
          <w:tcPr>
            <w:tcW w:w="3677" w:type="dxa"/>
            <w:tcBorders>
              <w:top w:val="single" w:sz="2" w:space="0" w:color="000000"/>
              <w:start w:val="single" w:sz="6" w:space="0" w:color="000000"/>
              <w:bottom w:val="single" w:sz="6"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1,072.00 </w:t>
            </w:r>
          </w:p>
        </w:tc>
        <w:tc>
          <w:tcPr>
            <w:tcW w:w="2938"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3360" w:type="dxa"/>
            <w:tcBorders>
              <w:top w:val="single" w:sz="2" w:space="0" w:color="000000"/>
              <w:start w:val="single" w:sz="2"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w:t>
            </w:r>
          </w:p>
        </w:tc>
        <w:tc>
          <w:tcPr>
            <w:tcW w:w="2767" w:type="dxa"/>
            <w:tcBorders>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93" w:hRule="atLeast"/>
        </w:trPr>
        <w:tc>
          <w:tcPr>
            <w:tcW w:w="1238" w:type="dxa"/>
            <w:tcBorders>
              <w:top w:val="single" w:sz="6" w:space="0" w:color="000000"/>
              <w:start w:val="single" w:sz="2" w:space="0" w:color="000000"/>
              <w:bottom w:val="single" w:sz="2" w:space="0" w:color="000000"/>
              <w:end w:val="single" w:sz="6"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c>
          <w:tcPr>
            <w:tcW w:w="3677" w:type="dxa"/>
            <w:tcBorders>
              <w:top w:val="single" w:sz="6" w:space="0" w:color="000000"/>
              <w:start w:val="single" w:sz="6" w:space="0" w:color="000000"/>
              <w:bottom w:val="single" w:sz="6" w:space="0" w:color="000000"/>
              <w:end w:val="single" w:sz="6" w:space="0" w:color="000000"/>
            </w:tcBorders>
            <w:shd w:fill="FFFFFF" w:val="clear"/>
          </w:tcPr>
          <w:p>
            <w:pPr>
              <w:pStyle w:val="Normal"/>
              <w:jc w:val="end"/>
              <w:rPr>
                <w:rFonts w:ascii="Arial" w:hAnsi="Arial" w:cs="Arial"/>
                <w:b/>
                <w:color w:val="000000"/>
                <w:sz w:val="22"/>
                <w:lang w:eastAsia="en-US"/>
              </w:rPr>
            </w:pPr>
            <w:r>
              <w:rPr>
                <w:rFonts w:cs="Arial" w:ascii="Arial" w:hAnsi="Arial"/>
                <w:b/>
                <w:color w:val="000000"/>
                <w:sz w:val="22"/>
                <w:lang w:eastAsia="en-US"/>
              </w:rPr>
              <w:t>PLANT MONTHLY TOTALS</w:t>
            </w:r>
          </w:p>
        </w:tc>
        <w:tc>
          <w:tcPr>
            <w:tcW w:w="29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eastAsia="Arial" w:cs="Arial" w:ascii="Arial" w:hAnsi="Arial"/>
                <w:b/>
                <w:color w:val="000000"/>
                <w:sz w:val="22"/>
                <w:lang w:eastAsia="en-US"/>
              </w:rPr>
              <w:t xml:space="preserve">                  </w:t>
            </w:r>
            <w:r>
              <w:rPr>
                <w:rFonts w:cs="Arial" w:ascii="Arial" w:hAnsi="Arial"/>
                <w:b/>
                <w:color w:val="000000"/>
                <w:sz w:val="22"/>
                <w:lang w:eastAsia="en-US"/>
              </w:rPr>
              <w:t xml:space="preserve">311,161,545.16 </w:t>
            </w:r>
          </w:p>
        </w:tc>
        <w:tc>
          <w:tcPr>
            <w:tcW w:w="33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eastAsia="Arial" w:cs="Arial" w:ascii="Arial" w:hAnsi="Arial"/>
                <w:b/>
                <w:color w:val="000000"/>
                <w:sz w:val="22"/>
                <w:lang w:eastAsia="en-US"/>
              </w:rPr>
              <w:t xml:space="preserve">                                </w:t>
            </w:r>
            <w:r>
              <w:rPr>
                <w:rFonts w:cs="Arial" w:ascii="Arial" w:hAnsi="Arial"/>
                <w:b/>
                <w:color w:val="000000"/>
                <w:sz w:val="22"/>
                <w:lang w:eastAsia="en-US"/>
              </w:rPr>
              <w:t xml:space="preserve">333,565.18 </w:t>
            </w:r>
          </w:p>
        </w:tc>
        <w:tc>
          <w:tcPr>
            <w:tcW w:w="276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eastAsia="Arial" w:cs="Arial" w:ascii="Arial" w:hAnsi="Arial"/>
                <w:b/>
                <w:color w:val="000000"/>
                <w:sz w:val="22"/>
                <w:lang w:eastAsia="en-US"/>
              </w:rPr>
              <w:t xml:space="preserve">                                </w:t>
            </w:r>
            <w:r>
              <w:rPr>
                <w:rFonts w:cs="Arial" w:ascii="Arial" w:hAnsi="Arial"/>
                <w:b/>
                <w:color w:val="000000"/>
                <w:sz w:val="22"/>
                <w:lang w:eastAsia="en-US"/>
              </w:rPr>
              <w:t xml:space="preserve">325,396.00 </w:t>
            </w:r>
          </w:p>
        </w:tc>
      </w:tr>
      <w:tr>
        <w:trPr>
          <w:trHeight w:val="336" w:hRule="atLeast"/>
        </w:trPr>
        <w:tc>
          <w:tcPr>
            <w:tcW w:w="1238"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b/>
                <w:color w:val="000000"/>
                <w:sz w:val="22"/>
                <w:lang w:eastAsia="en-US"/>
              </w:rPr>
            </w:pPr>
            <w:r>
              <w:rPr>
                <w:rFonts w:cs="Arial" w:ascii="Arial" w:hAnsi="Arial"/>
                <w:b/>
                <w:color w:val="000000"/>
                <w:sz w:val="22"/>
                <w:lang w:eastAsia="en-US"/>
              </w:rPr>
              <w:t>Feb-00</w:t>
            </w:r>
          </w:p>
        </w:tc>
        <w:tc>
          <w:tcPr>
            <w:tcW w:w="3677"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c>
          <w:tcPr>
            <w:tcW w:w="2938"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3360"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2767"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53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cs="Arial" w:ascii="Arial" w:hAnsi="Arial"/>
                <w:b/>
                <w:color w:val="000000"/>
                <w:sz w:val="22"/>
                <w:lang w:eastAsia="en-US"/>
              </w:rPr>
              <w:t>Unit ID</w:t>
            </w:r>
          </w:p>
        </w:tc>
        <w:tc>
          <w:tcPr>
            <w:tcW w:w="3677"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b/>
                <w:color w:val="000000"/>
                <w:sz w:val="22"/>
                <w:lang w:eastAsia="en-US"/>
              </w:rPr>
              <w:t>Heat Content of Fuel (BTU/ft</w:t>
            </w:r>
            <w:r>
              <w:rPr>
                <w:rFonts w:cs="Arial" w:ascii="Arial" w:hAnsi="Arial"/>
                <w:b/>
                <w:color w:val="000000"/>
                <w:sz w:val="22"/>
                <w:vertAlign w:val="superscript"/>
                <w:lang w:eastAsia="en-US"/>
              </w:rPr>
              <w:t>3</w:t>
            </w:r>
            <w:r>
              <w:rPr>
                <w:rFonts w:cs="Arial" w:ascii="Arial" w:hAnsi="Arial"/>
                <w:b/>
                <w:color w:val="000000"/>
                <w:sz w:val="22"/>
                <w:lang w:eastAsia="en-US"/>
              </w:rPr>
              <w:t>)</w:t>
            </w:r>
          </w:p>
        </w:tc>
        <w:tc>
          <w:tcPr>
            <w:tcW w:w="2938"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b/>
                <w:color w:val="000000"/>
                <w:sz w:val="22"/>
                <w:lang w:eastAsia="en-US"/>
              </w:rPr>
              <w:t>Fuel Usage (ft</w:t>
            </w:r>
            <w:r>
              <w:rPr>
                <w:rFonts w:cs="Arial" w:ascii="Arial" w:hAnsi="Arial"/>
                <w:b/>
                <w:color w:val="000000"/>
                <w:sz w:val="22"/>
                <w:vertAlign w:val="superscript"/>
                <w:lang w:eastAsia="en-US"/>
              </w:rPr>
              <w:t>3</w:t>
            </w:r>
            <w:r>
              <w:rPr>
                <w:rFonts w:cs="Arial" w:ascii="Arial" w:hAnsi="Arial"/>
                <w:b/>
                <w:color w:val="000000"/>
                <w:sz w:val="22"/>
                <w:lang w:eastAsia="en-US"/>
              </w:rPr>
              <w:t>/month)</w:t>
            </w:r>
          </w:p>
        </w:tc>
        <w:tc>
          <w:tcPr>
            <w:tcW w:w="3360"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b/>
                <w:color w:val="000000"/>
                <w:sz w:val="22"/>
                <w:lang w:eastAsia="en-US"/>
              </w:rPr>
              <w:t xml:space="preserve">Heat Input  (MMBTU/month) </w:t>
            </w:r>
            <w:r>
              <w:rPr>
                <w:rFonts w:cs="Arial" w:ascii="Arial" w:hAnsi="Arial"/>
                <w:color w:val="000000"/>
                <w:sz w:val="22"/>
                <w:lang w:eastAsia="en-US"/>
              </w:rPr>
              <w:t>(as calculated on site)</w:t>
            </w:r>
          </w:p>
        </w:tc>
        <w:tc>
          <w:tcPr>
            <w:tcW w:w="2767"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b/>
                <w:color w:val="000000"/>
                <w:sz w:val="22"/>
                <w:lang w:eastAsia="en-US"/>
              </w:rPr>
              <w:t xml:space="preserve">Heat Input  (MMBTU/month) </w:t>
            </w:r>
            <w:r>
              <w:rPr>
                <w:rFonts w:cs="Arial" w:ascii="Arial" w:hAnsi="Arial"/>
                <w:color w:val="000000"/>
                <w:sz w:val="22"/>
                <w:lang w:eastAsia="en-US"/>
              </w:rPr>
              <w:t>(as calculated by ANR)</w:t>
            </w:r>
          </w:p>
        </w:tc>
      </w:tr>
      <w:tr>
        <w:trPr>
          <w:trHeight w:val="28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AA-001</w:t>
            </w:r>
          </w:p>
        </w:tc>
        <w:tc>
          <w:tcPr>
            <w:tcW w:w="3677" w:type="dxa"/>
            <w:tcBorders>
              <w:top w:val="single" w:sz="6" w:space="0" w:color="000000"/>
              <w:start w:val="single" w:sz="6"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1,018.00 </w:t>
            </w:r>
          </w:p>
        </w:tc>
        <w:tc>
          <w:tcPr>
            <w:tcW w:w="2938" w:type="dxa"/>
            <w:tcBorders>
              <w:top w:val="single" w:sz="6"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cs="Arial" w:ascii="Arial" w:hAnsi="Arial"/>
                <w:color w:val="000000"/>
                <w:sz w:val="22"/>
                <w:lang w:eastAsia="en-US"/>
              </w:rPr>
              <w:t>0.00</w:t>
            </w:r>
          </w:p>
        </w:tc>
        <w:tc>
          <w:tcPr>
            <w:tcW w:w="3360" w:type="dxa"/>
            <w:tcBorders>
              <w:top w:val="single" w:sz="6" w:space="0" w:color="000000"/>
              <w:start w:val="single" w:sz="2" w:space="0" w:color="000000"/>
              <w:bottom w:val="single" w:sz="2" w:space="0" w:color="000000"/>
              <w:end w:val="single" w:sz="6" w:space="0" w:color="000000"/>
            </w:tcBorders>
          </w:tcPr>
          <w:p>
            <w:pPr>
              <w:pStyle w:val="Normal"/>
              <w:jc w:val="end"/>
              <w:rPr>
                <w:rFonts w:ascii="Arial" w:hAnsi="Arial" w:cs="Arial"/>
                <w:color w:val="000000"/>
                <w:sz w:val="22"/>
                <w:lang w:eastAsia="en-US"/>
              </w:rPr>
            </w:pPr>
            <w:r>
              <w:rPr>
                <w:rFonts w:cs="Arial" w:ascii="Arial" w:hAnsi="Arial"/>
                <w:color w:val="000000"/>
                <w:sz w:val="22"/>
                <w:lang w:eastAsia="en-US"/>
              </w:rPr>
              <w:t>0.00</w:t>
            </w:r>
          </w:p>
        </w:tc>
        <w:tc>
          <w:tcPr>
            <w:tcW w:w="2767"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8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AA-002</w:t>
            </w:r>
          </w:p>
        </w:tc>
        <w:tc>
          <w:tcPr>
            <w:tcW w:w="3677" w:type="dxa"/>
            <w:tcBorders>
              <w:top w:val="single" w:sz="2" w:space="0" w:color="000000"/>
              <w:start w:val="single" w:sz="6"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1,018.00 </w:t>
            </w:r>
          </w:p>
        </w:tc>
        <w:tc>
          <w:tcPr>
            <w:tcW w:w="2938"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12,109,386.19 </w:t>
            </w:r>
          </w:p>
        </w:tc>
        <w:tc>
          <w:tcPr>
            <w:tcW w:w="3360" w:type="dxa"/>
            <w:tcBorders>
              <w:top w:val="single" w:sz="2" w:space="0" w:color="000000"/>
              <w:start w:val="single" w:sz="2" w:space="0" w:color="000000"/>
              <w:bottom w:val="single" w:sz="2" w:space="0" w:color="000000"/>
              <w:end w:val="single" w:sz="6"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12,327.36 </w:t>
            </w:r>
          </w:p>
        </w:tc>
        <w:tc>
          <w:tcPr>
            <w:tcW w:w="2767" w:type="dxa"/>
            <w:tcBorders>
              <w:start w:val="single" w:sz="6" w:space="0" w:color="000000"/>
              <w:end w:val="single" w:sz="6" w:space="0" w:color="000000"/>
            </w:tcBorders>
            <w:shd w:fill="C0C0C0"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8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AA-003</w:t>
            </w:r>
          </w:p>
        </w:tc>
        <w:tc>
          <w:tcPr>
            <w:tcW w:w="3677" w:type="dxa"/>
            <w:tcBorders>
              <w:top w:val="single" w:sz="2" w:space="0" w:color="000000"/>
              <w:start w:val="single" w:sz="6"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1,018.00 </w:t>
            </w:r>
          </w:p>
        </w:tc>
        <w:tc>
          <w:tcPr>
            <w:tcW w:w="2938"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36,326,840.22 </w:t>
            </w:r>
          </w:p>
        </w:tc>
        <w:tc>
          <w:tcPr>
            <w:tcW w:w="3360" w:type="dxa"/>
            <w:tcBorders>
              <w:top w:val="single" w:sz="2" w:space="0" w:color="000000"/>
              <w:start w:val="single" w:sz="2" w:space="0" w:color="000000"/>
              <w:bottom w:val="single" w:sz="2" w:space="0" w:color="000000"/>
              <w:end w:val="single" w:sz="6"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36,980.72 </w:t>
            </w:r>
          </w:p>
        </w:tc>
        <w:tc>
          <w:tcPr>
            <w:tcW w:w="2767" w:type="dxa"/>
            <w:tcBorders>
              <w:start w:val="single" w:sz="6" w:space="0" w:color="000000"/>
              <w:end w:val="single" w:sz="6" w:space="0" w:color="000000"/>
            </w:tcBorders>
            <w:shd w:fill="C0C0C0"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8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AA-004</w:t>
            </w:r>
          </w:p>
        </w:tc>
        <w:tc>
          <w:tcPr>
            <w:tcW w:w="3677" w:type="dxa"/>
            <w:tcBorders>
              <w:top w:val="single" w:sz="2" w:space="0" w:color="000000"/>
              <w:start w:val="single" w:sz="6"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1,018.00 </w:t>
            </w:r>
          </w:p>
        </w:tc>
        <w:tc>
          <w:tcPr>
            <w:tcW w:w="2938"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24,129,082.37 </w:t>
            </w:r>
          </w:p>
        </w:tc>
        <w:tc>
          <w:tcPr>
            <w:tcW w:w="3360" w:type="dxa"/>
            <w:tcBorders>
              <w:top w:val="single" w:sz="2" w:space="0" w:color="000000"/>
              <w:start w:val="single" w:sz="2" w:space="0" w:color="000000"/>
              <w:bottom w:val="single" w:sz="2" w:space="0" w:color="000000"/>
              <w:end w:val="single" w:sz="6"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24,563.41 </w:t>
            </w:r>
          </w:p>
        </w:tc>
        <w:tc>
          <w:tcPr>
            <w:tcW w:w="2767" w:type="dxa"/>
            <w:tcBorders>
              <w:start w:val="single" w:sz="6" w:space="0" w:color="000000"/>
              <w:end w:val="single" w:sz="6" w:space="0" w:color="000000"/>
            </w:tcBorders>
            <w:shd w:fill="C0C0C0"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8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AA-005</w:t>
            </w:r>
          </w:p>
        </w:tc>
        <w:tc>
          <w:tcPr>
            <w:tcW w:w="3677" w:type="dxa"/>
            <w:tcBorders>
              <w:top w:val="single" w:sz="2" w:space="0" w:color="000000"/>
              <w:start w:val="single" w:sz="6" w:space="0" w:color="000000"/>
              <w:bottom w:val="single" w:sz="6"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1,018.00 </w:t>
            </w:r>
          </w:p>
        </w:tc>
        <w:tc>
          <w:tcPr>
            <w:tcW w:w="2938"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3360" w:type="dxa"/>
            <w:tcBorders>
              <w:top w:val="single" w:sz="2" w:space="0" w:color="000000"/>
              <w:start w:val="single" w:sz="2"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   </w:t>
            </w:r>
          </w:p>
        </w:tc>
        <w:tc>
          <w:tcPr>
            <w:tcW w:w="2767" w:type="dxa"/>
            <w:tcBorders>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93" w:hRule="atLeast"/>
        </w:trPr>
        <w:tc>
          <w:tcPr>
            <w:tcW w:w="1238" w:type="dxa"/>
            <w:tcBorders>
              <w:top w:val="single" w:sz="6" w:space="0" w:color="000000"/>
              <w:start w:val="single" w:sz="2" w:space="0" w:color="000000"/>
              <w:bottom w:val="single" w:sz="2" w:space="0" w:color="000000"/>
              <w:end w:val="single" w:sz="6"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c>
          <w:tcPr>
            <w:tcW w:w="3677" w:type="dxa"/>
            <w:tcBorders>
              <w:top w:val="single" w:sz="6" w:space="0" w:color="000000"/>
              <w:start w:val="single" w:sz="6" w:space="0" w:color="000000"/>
              <w:bottom w:val="single" w:sz="6" w:space="0" w:color="000000"/>
              <w:end w:val="single" w:sz="6" w:space="0" w:color="000000"/>
            </w:tcBorders>
            <w:shd w:fill="FFFFFF" w:val="clear"/>
          </w:tcPr>
          <w:p>
            <w:pPr>
              <w:pStyle w:val="Normal"/>
              <w:jc w:val="end"/>
              <w:rPr>
                <w:rFonts w:ascii="Arial" w:hAnsi="Arial" w:cs="Arial"/>
                <w:b/>
                <w:color w:val="000000"/>
                <w:sz w:val="22"/>
                <w:lang w:eastAsia="en-US"/>
              </w:rPr>
            </w:pPr>
            <w:r>
              <w:rPr>
                <w:rFonts w:cs="Arial" w:ascii="Arial" w:hAnsi="Arial"/>
                <w:b/>
                <w:color w:val="000000"/>
                <w:sz w:val="22"/>
                <w:lang w:eastAsia="en-US"/>
              </w:rPr>
              <w:t>PLANT MONTHLY TOTALS</w:t>
            </w:r>
          </w:p>
        </w:tc>
        <w:tc>
          <w:tcPr>
            <w:tcW w:w="29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eastAsia="Arial" w:cs="Arial" w:ascii="Arial" w:hAnsi="Arial"/>
                <w:b/>
                <w:color w:val="000000"/>
                <w:sz w:val="22"/>
                <w:lang w:eastAsia="en-US"/>
              </w:rPr>
              <w:t xml:space="preserve">                    </w:t>
            </w:r>
            <w:r>
              <w:rPr>
                <w:rFonts w:cs="Arial" w:ascii="Arial" w:hAnsi="Arial"/>
                <w:b/>
                <w:color w:val="000000"/>
                <w:sz w:val="22"/>
                <w:lang w:eastAsia="en-US"/>
              </w:rPr>
              <w:t xml:space="preserve">72,565,308.78 </w:t>
            </w:r>
          </w:p>
        </w:tc>
        <w:tc>
          <w:tcPr>
            <w:tcW w:w="33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eastAsia="Arial" w:cs="Arial" w:ascii="Arial" w:hAnsi="Arial"/>
                <w:b/>
                <w:color w:val="000000"/>
                <w:sz w:val="22"/>
                <w:lang w:eastAsia="en-US"/>
              </w:rPr>
              <w:t xml:space="preserve">                                   </w:t>
            </w:r>
            <w:r>
              <w:rPr>
                <w:rFonts w:cs="Arial" w:ascii="Arial" w:hAnsi="Arial"/>
                <w:b/>
                <w:color w:val="000000"/>
                <w:sz w:val="22"/>
                <w:lang w:eastAsia="en-US"/>
              </w:rPr>
              <w:t xml:space="preserve">73,871.48 </w:t>
            </w:r>
          </w:p>
        </w:tc>
        <w:tc>
          <w:tcPr>
            <w:tcW w:w="276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eastAsia="Arial" w:cs="Arial" w:ascii="Arial" w:hAnsi="Arial"/>
                <w:b/>
                <w:color w:val="000000"/>
                <w:sz w:val="22"/>
                <w:lang w:eastAsia="en-US"/>
              </w:rPr>
              <w:t xml:space="preserve">                                   </w:t>
            </w:r>
            <w:r>
              <w:rPr>
                <w:rFonts w:cs="Arial" w:ascii="Arial" w:hAnsi="Arial"/>
                <w:b/>
                <w:color w:val="000000"/>
                <w:sz w:val="22"/>
                <w:lang w:eastAsia="en-US"/>
              </w:rPr>
              <w:t xml:space="preserve">68,885.00 </w:t>
            </w:r>
          </w:p>
        </w:tc>
      </w:tr>
      <w:tr>
        <w:trPr>
          <w:trHeight w:val="293" w:hRule="atLeast"/>
        </w:trPr>
        <w:tc>
          <w:tcPr>
            <w:tcW w:w="1238" w:type="dxa"/>
            <w:tcBorders>
              <w:top w:val="single" w:sz="6" w:space="0" w:color="000000"/>
              <w:start w:val="single" w:sz="2" w:space="0" w:color="000000"/>
              <w:bottom w:val="single" w:sz="2" w:space="0" w:color="000000"/>
              <w:end w:val="single" w:sz="6"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p>
            <w:pPr>
              <w:pStyle w:val="Normal"/>
              <w:jc w:val="center"/>
              <w:rPr>
                <w:rFonts w:ascii="Arial" w:hAnsi="Arial" w:cs="Arial"/>
                <w:b/>
                <w:color w:val="000000"/>
                <w:sz w:val="22"/>
                <w:lang w:eastAsia="en-US"/>
              </w:rPr>
            </w:pPr>
            <w:r>
              <w:rPr>
                <w:rFonts w:cs="Arial" w:ascii="Arial" w:hAnsi="Arial"/>
                <w:b/>
                <w:color w:val="000000"/>
                <w:sz w:val="22"/>
                <w:lang w:eastAsia="en-US"/>
              </w:rPr>
            </w:r>
          </w:p>
          <w:p>
            <w:pPr>
              <w:pStyle w:val="Normal"/>
              <w:jc w:val="center"/>
              <w:rPr>
                <w:rFonts w:ascii="Arial" w:hAnsi="Arial" w:cs="Arial"/>
                <w:b/>
                <w:color w:val="000000"/>
                <w:sz w:val="22"/>
                <w:lang w:eastAsia="en-US"/>
              </w:rPr>
            </w:pPr>
            <w:r>
              <w:rPr>
                <w:rFonts w:cs="Arial" w:ascii="Arial" w:hAnsi="Arial"/>
                <w:b/>
                <w:color w:val="000000"/>
                <w:sz w:val="22"/>
                <w:lang w:eastAsia="en-US"/>
              </w:rPr>
            </w:r>
          </w:p>
          <w:p>
            <w:pPr>
              <w:pStyle w:val="Normal"/>
              <w:jc w:val="center"/>
              <w:rPr>
                <w:rFonts w:ascii="Arial" w:hAnsi="Arial" w:cs="Arial"/>
                <w:b/>
                <w:color w:val="000000"/>
                <w:sz w:val="22"/>
                <w:lang w:eastAsia="en-US"/>
              </w:rPr>
            </w:pPr>
            <w:r>
              <w:rPr>
                <w:rFonts w:cs="Arial" w:ascii="Arial" w:hAnsi="Arial"/>
                <w:b/>
                <w:color w:val="000000"/>
                <w:sz w:val="22"/>
                <w:lang w:eastAsia="en-US"/>
              </w:rPr>
            </w:r>
          </w:p>
          <w:p>
            <w:pPr>
              <w:pStyle w:val="Normal"/>
              <w:jc w:val="center"/>
              <w:rPr>
                <w:rFonts w:ascii="Arial" w:hAnsi="Arial" w:cs="Arial"/>
                <w:b/>
                <w:color w:val="000000"/>
                <w:sz w:val="22"/>
                <w:lang w:eastAsia="en-US"/>
              </w:rPr>
            </w:pPr>
            <w:r>
              <w:rPr>
                <w:rFonts w:cs="Arial" w:ascii="Arial" w:hAnsi="Arial"/>
                <w:b/>
                <w:color w:val="000000"/>
                <w:sz w:val="22"/>
                <w:lang w:eastAsia="en-US"/>
              </w:rPr>
            </w:r>
          </w:p>
        </w:tc>
        <w:tc>
          <w:tcPr>
            <w:tcW w:w="367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rFonts w:ascii="Arial" w:hAnsi="Arial" w:cs="Arial"/>
                <w:b/>
                <w:color w:val="000000"/>
                <w:sz w:val="22"/>
                <w:lang w:eastAsia="en-US"/>
              </w:rPr>
            </w:pPr>
            <w:r>
              <w:rPr>
                <w:rFonts w:cs="Arial" w:ascii="Arial" w:hAnsi="Arial"/>
                <w:b/>
                <w:color w:val="000000"/>
                <w:sz w:val="22"/>
                <w:lang w:eastAsia="en-US"/>
              </w:rPr>
            </w:r>
          </w:p>
        </w:tc>
        <w:tc>
          <w:tcPr>
            <w:tcW w:w="293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c>
          <w:tcPr>
            <w:tcW w:w="33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c>
          <w:tcPr>
            <w:tcW w:w="276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r>
      <w:tr>
        <w:trPr>
          <w:trHeight w:val="336" w:hRule="atLeast"/>
        </w:trPr>
        <w:tc>
          <w:tcPr>
            <w:tcW w:w="1238" w:type="dxa"/>
            <w:tcBorders>
              <w:top w:val="single" w:sz="2" w:space="0" w:color="000000"/>
              <w:start w:val="single" w:sz="2" w:space="0" w:color="000000"/>
              <w:bottom w:val="single" w:sz="6" w:space="0" w:color="000000"/>
              <w:end w:val="single" w:sz="2" w:space="0" w:color="000000"/>
            </w:tcBorders>
          </w:tcPr>
          <w:p>
            <w:pPr>
              <w:pStyle w:val="Normal"/>
              <w:rPr>
                <w:rFonts w:ascii="Arial" w:hAnsi="Arial" w:cs="Arial"/>
                <w:b/>
                <w:color w:val="000000"/>
                <w:sz w:val="22"/>
                <w:lang w:eastAsia="en-US"/>
              </w:rPr>
            </w:pPr>
            <w:r>
              <w:rPr>
                <w:rFonts w:cs="Arial" w:ascii="Arial" w:hAnsi="Arial"/>
                <w:b/>
                <w:color w:val="000000"/>
                <w:sz w:val="22"/>
                <w:lang w:eastAsia="en-US"/>
              </w:rPr>
              <w:t>Mar-00</w:t>
            </w:r>
          </w:p>
        </w:tc>
        <w:tc>
          <w:tcPr>
            <w:tcW w:w="3677"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c>
          <w:tcPr>
            <w:tcW w:w="2938"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3360"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2767"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53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cs="Arial" w:ascii="Arial" w:hAnsi="Arial"/>
                <w:b/>
                <w:color w:val="000000"/>
                <w:sz w:val="22"/>
                <w:lang w:eastAsia="en-US"/>
              </w:rPr>
              <w:t>Unit ID</w:t>
            </w:r>
          </w:p>
        </w:tc>
        <w:tc>
          <w:tcPr>
            <w:tcW w:w="3677"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b/>
                <w:color w:val="000000"/>
                <w:sz w:val="22"/>
                <w:lang w:eastAsia="en-US"/>
              </w:rPr>
              <w:t>Heat Content of Fuel (BTU/ft</w:t>
            </w:r>
            <w:r>
              <w:rPr>
                <w:rFonts w:cs="Arial" w:ascii="Arial" w:hAnsi="Arial"/>
                <w:b/>
                <w:color w:val="000000"/>
                <w:sz w:val="22"/>
                <w:vertAlign w:val="superscript"/>
                <w:lang w:eastAsia="en-US"/>
              </w:rPr>
              <w:t>3</w:t>
            </w:r>
            <w:r>
              <w:rPr>
                <w:rFonts w:cs="Arial" w:ascii="Arial" w:hAnsi="Arial"/>
                <w:b/>
                <w:color w:val="000000"/>
                <w:sz w:val="22"/>
                <w:lang w:eastAsia="en-US"/>
              </w:rPr>
              <w:t>)</w:t>
            </w:r>
          </w:p>
        </w:tc>
        <w:tc>
          <w:tcPr>
            <w:tcW w:w="2938"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b/>
                <w:color w:val="000000"/>
                <w:sz w:val="22"/>
                <w:lang w:eastAsia="en-US"/>
              </w:rPr>
              <w:t>Fuel Usage (ft</w:t>
            </w:r>
            <w:r>
              <w:rPr>
                <w:rFonts w:cs="Arial" w:ascii="Arial" w:hAnsi="Arial"/>
                <w:b/>
                <w:color w:val="000000"/>
                <w:sz w:val="22"/>
                <w:vertAlign w:val="superscript"/>
                <w:lang w:eastAsia="en-US"/>
              </w:rPr>
              <w:t>3</w:t>
            </w:r>
            <w:r>
              <w:rPr>
                <w:rFonts w:cs="Arial" w:ascii="Arial" w:hAnsi="Arial"/>
                <w:b/>
                <w:color w:val="000000"/>
                <w:sz w:val="22"/>
                <w:lang w:eastAsia="en-US"/>
              </w:rPr>
              <w:t>/month)</w:t>
            </w:r>
          </w:p>
        </w:tc>
        <w:tc>
          <w:tcPr>
            <w:tcW w:w="3360"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b/>
                <w:color w:val="000000"/>
                <w:sz w:val="22"/>
                <w:lang w:eastAsia="en-US"/>
              </w:rPr>
              <w:t xml:space="preserve">Heat Input  (MMBTU/month) </w:t>
            </w:r>
            <w:r>
              <w:rPr>
                <w:rFonts w:cs="Arial" w:ascii="Arial" w:hAnsi="Arial"/>
                <w:color w:val="000000"/>
                <w:sz w:val="22"/>
                <w:lang w:eastAsia="en-US"/>
              </w:rPr>
              <w:t>(as calculated on site)</w:t>
            </w:r>
          </w:p>
        </w:tc>
        <w:tc>
          <w:tcPr>
            <w:tcW w:w="2767"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b/>
                <w:color w:val="000000"/>
                <w:sz w:val="22"/>
                <w:lang w:eastAsia="en-US"/>
              </w:rPr>
              <w:t xml:space="preserve">Heat Input  (MMBTU/month) </w:t>
            </w:r>
            <w:r>
              <w:rPr>
                <w:rFonts w:cs="Arial" w:ascii="Arial" w:hAnsi="Arial"/>
                <w:color w:val="000000"/>
                <w:sz w:val="22"/>
                <w:lang w:eastAsia="en-US"/>
              </w:rPr>
              <w:t>(as calculated by ANR)</w:t>
            </w:r>
          </w:p>
        </w:tc>
      </w:tr>
      <w:tr>
        <w:trPr>
          <w:trHeight w:val="28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AA-001</w:t>
            </w:r>
          </w:p>
        </w:tc>
        <w:tc>
          <w:tcPr>
            <w:tcW w:w="3677" w:type="dxa"/>
            <w:tcBorders>
              <w:top w:val="single" w:sz="6" w:space="0" w:color="000000"/>
              <w:start w:val="single" w:sz="6"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1,018.00 </w:t>
            </w:r>
          </w:p>
        </w:tc>
        <w:tc>
          <w:tcPr>
            <w:tcW w:w="2938" w:type="dxa"/>
            <w:tcBorders>
              <w:top w:val="single" w:sz="6"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cs="Arial" w:ascii="Arial" w:hAnsi="Arial"/>
                <w:color w:val="000000"/>
                <w:sz w:val="22"/>
                <w:lang w:eastAsia="en-US"/>
              </w:rPr>
              <w:t>0.00</w:t>
            </w:r>
          </w:p>
        </w:tc>
        <w:tc>
          <w:tcPr>
            <w:tcW w:w="3360" w:type="dxa"/>
            <w:tcBorders>
              <w:top w:val="single" w:sz="6" w:space="0" w:color="000000"/>
              <w:start w:val="single" w:sz="2" w:space="0" w:color="000000"/>
              <w:bottom w:val="single" w:sz="2" w:space="0" w:color="000000"/>
              <w:end w:val="single" w:sz="6" w:space="0" w:color="000000"/>
            </w:tcBorders>
          </w:tcPr>
          <w:p>
            <w:pPr>
              <w:pStyle w:val="Normal"/>
              <w:jc w:val="end"/>
              <w:rPr>
                <w:rFonts w:ascii="Arial" w:hAnsi="Arial" w:cs="Arial"/>
                <w:color w:val="000000"/>
                <w:sz w:val="22"/>
                <w:lang w:eastAsia="en-US"/>
              </w:rPr>
            </w:pPr>
            <w:r>
              <w:rPr>
                <w:rFonts w:cs="Arial" w:ascii="Arial" w:hAnsi="Arial"/>
                <w:color w:val="000000"/>
                <w:sz w:val="22"/>
                <w:lang w:eastAsia="en-US"/>
              </w:rPr>
              <w:t>0.00</w:t>
            </w:r>
          </w:p>
        </w:tc>
        <w:tc>
          <w:tcPr>
            <w:tcW w:w="2767"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8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AA-002</w:t>
            </w:r>
          </w:p>
        </w:tc>
        <w:tc>
          <w:tcPr>
            <w:tcW w:w="3677" w:type="dxa"/>
            <w:tcBorders>
              <w:top w:val="single" w:sz="2" w:space="0" w:color="000000"/>
              <w:start w:val="single" w:sz="6"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1,018.00 </w:t>
            </w:r>
          </w:p>
        </w:tc>
        <w:tc>
          <w:tcPr>
            <w:tcW w:w="2938"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cs="Arial" w:ascii="Arial" w:hAnsi="Arial"/>
                <w:color w:val="000000"/>
                <w:sz w:val="22"/>
                <w:lang w:eastAsia="en-US"/>
              </w:rPr>
              <w:t>0.00</w:t>
            </w:r>
          </w:p>
        </w:tc>
        <w:tc>
          <w:tcPr>
            <w:tcW w:w="3360" w:type="dxa"/>
            <w:tcBorders>
              <w:top w:val="single" w:sz="2" w:space="0" w:color="000000"/>
              <w:start w:val="single" w:sz="2" w:space="0" w:color="000000"/>
              <w:bottom w:val="single" w:sz="2" w:space="0" w:color="000000"/>
              <w:end w:val="single" w:sz="6" w:space="0" w:color="000000"/>
            </w:tcBorders>
          </w:tcPr>
          <w:p>
            <w:pPr>
              <w:pStyle w:val="Normal"/>
              <w:jc w:val="end"/>
              <w:rPr>
                <w:rFonts w:ascii="Arial" w:hAnsi="Arial" w:cs="Arial"/>
                <w:color w:val="000000"/>
                <w:sz w:val="22"/>
                <w:lang w:eastAsia="en-US"/>
              </w:rPr>
            </w:pPr>
            <w:r>
              <w:rPr>
                <w:rFonts w:cs="Arial" w:ascii="Arial" w:hAnsi="Arial"/>
                <w:color w:val="000000"/>
                <w:sz w:val="22"/>
                <w:lang w:eastAsia="en-US"/>
              </w:rPr>
              <w:t>0.00</w:t>
            </w:r>
          </w:p>
        </w:tc>
        <w:tc>
          <w:tcPr>
            <w:tcW w:w="2767" w:type="dxa"/>
            <w:tcBorders>
              <w:start w:val="single" w:sz="6" w:space="0" w:color="000000"/>
              <w:end w:val="single" w:sz="6" w:space="0" w:color="000000"/>
            </w:tcBorders>
            <w:shd w:fill="C0C0C0"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8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AA-003</w:t>
            </w:r>
          </w:p>
        </w:tc>
        <w:tc>
          <w:tcPr>
            <w:tcW w:w="3677" w:type="dxa"/>
            <w:tcBorders>
              <w:top w:val="single" w:sz="2" w:space="0" w:color="000000"/>
              <w:start w:val="single" w:sz="6"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1,018.00 </w:t>
            </w:r>
          </w:p>
        </w:tc>
        <w:tc>
          <w:tcPr>
            <w:tcW w:w="2938"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cs="Arial" w:ascii="Arial" w:hAnsi="Arial"/>
                <w:color w:val="000000"/>
                <w:sz w:val="22"/>
                <w:lang w:eastAsia="en-US"/>
              </w:rPr>
              <w:t>0.00</w:t>
            </w:r>
          </w:p>
        </w:tc>
        <w:tc>
          <w:tcPr>
            <w:tcW w:w="3360" w:type="dxa"/>
            <w:tcBorders>
              <w:top w:val="single" w:sz="2" w:space="0" w:color="000000"/>
              <w:start w:val="single" w:sz="2" w:space="0" w:color="000000"/>
              <w:bottom w:val="single" w:sz="2" w:space="0" w:color="000000"/>
              <w:end w:val="single" w:sz="6" w:space="0" w:color="000000"/>
            </w:tcBorders>
          </w:tcPr>
          <w:p>
            <w:pPr>
              <w:pStyle w:val="Normal"/>
              <w:jc w:val="end"/>
              <w:rPr>
                <w:rFonts w:ascii="Arial" w:hAnsi="Arial" w:cs="Arial"/>
                <w:color w:val="000000"/>
                <w:sz w:val="22"/>
                <w:lang w:eastAsia="en-US"/>
              </w:rPr>
            </w:pPr>
            <w:r>
              <w:rPr>
                <w:rFonts w:cs="Arial" w:ascii="Arial" w:hAnsi="Arial"/>
                <w:color w:val="000000"/>
                <w:sz w:val="22"/>
                <w:lang w:eastAsia="en-US"/>
              </w:rPr>
              <w:t>0.00</w:t>
            </w:r>
          </w:p>
        </w:tc>
        <w:tc>
          <w:tcPr>
            <w:tcW w:w="2767" w:type="dxa"/>
            <w:tcBorders>
              <w:start w:val="single" w:sz="6" w:space="0" w:color="000000"/>
              <w:end w:val="single" w:sz="6" w:space="0" w:color="000000"/>
            </w:tcBorders>
            <w:shd w:fill="C0C0C0"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8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AA-004</w:t>
            </w:r>
          </w:p>
        </w:tc>
        <w:tc>
          <w:tcPr>
            <w:tcW w:w="3677" w:type="dxa"/>
            <w:tcBorders>
              <w:top w:val="single" w:sz="2" w:space="0" w:color="000000"/>
              <w:start w:val="single" w:sz="6"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1,018.00 </w:t>
            </w:r>
          </w:p>
        </w:tc>
        <w:tc>
          <w:tcPr>
            <w:tcW w:w="2938"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22"/>
                <w:lang w:eastAsia="en-US"/>
              </w:rPr>
            </w:pPr>
            <w:r>
              <w:rPr>
                <w:rFonts w:cs="Arial" w:ascii="Arial" w:hAnsi="Arial"/>
                <w:color w:val="000000"/>
                <w:sz w:val="22"/>
                <w:lang w:eastAsia="en-US"/>
              </w:rPr>
              <w:t>0.00</w:t>
            </w:r>
          </w:p>
        </w:tc>
        <w:tc>
          <w:tcPr>
            <w:tcW w:w="3360" w:type="dxa"/>
            <w:tcBorders>
              <w:top w:val="single" w:sz="2" w:space="0" w:color="000000"/>
              <w:start w:val="single" w:sz="2" w:space="0" w:color="000000"/>
              <w:bottom w:val="single" w:sz="2" w:space="0" w:color="000000"/>
              <w:end w:val="single" w:sz="6" w:space="0" w:color="000000"/>
            </w:tcBorders>
          </w:tcPr>
          <w:p>
            <w:pPr>
              <w:pStyle w:val="Normal"/>
              <w:jc w:val="end"/>
              <w:rPr>
                <w:rFonts w:ascii="Arial" w:hAnsi="Arial" w:cs="Arial"/>
                <w:color w:val="000000"/>
                <w:sz w:val="22"/>
                <w:lang w:eastAsia="en-US"/>
              </w:rPr>
            </w:pPr>
            <w:r>
              <w:rPr>
                <w:rFonts w:cs="Arial" w:ascii="Arial" w:hAnsi="Arial"/>
                <w:color w:val="000000"/>
                <w:sz w:val="22"/>
                <w:lang w:eastAsia="en-US"/>
              </w:rPr>
              <w:t>0.00</w:t>
            </w:r>
          </w:p>
        </w:tc>
        <w:tc>
          <w:tcPr>
            <w:tcW w:w="2767" w:type="dxa"/>
            <w:tcBorders>
              <w:start w:val="single" w:sz="6" w:space="0" w:color="000000"/>
              <w:end w:val="single" w:sz="6" w:space="0" w:color="000000"/>
            </w:tcBorders>
            <w:shd w:fill="C0C0C0"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8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AA-005</w:t>
            </w:r>
          </w:p>
        </w:tc>
        <w:tc>
          <w:tcPr>
            <w:tcW w:w="3677" w:type="dxa"/>
            <w:tcBorders>
              <w:top w:val="single" w:sz="2" w:space="0" w:color="000000"/>
              <w:start w:val="single" w:sz="6" w:space="0" w:color="000000"/>
              <w:bottom w:val="single" w:sz="6"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1,018.00 </w:t>
            </w:r>
          </w:p>
        </w:tc>
        <w:tc>
          <w:tcPr>
            <w:tcW w:w="2938" w:type="dxa"/>
            <w:tcBorders>
              <w:top w:val="single" w:sz="2" w:space="0" w:color="000000"/>
              <w:start w:val="single" w:sz="2" w:space="0" w:color="000000"/>
              <w:bottom w:val="single" w:sz="6" w:space="0" w:color="000000"/>
              <w:end w:val="single" w:sz="2" w:space="0" w:color="000000"/>
            </w:tcBorders>
          </w:tcPr>
          <w:p>
            <w:pPr>
              <w:pStyle w:val="Normal"/>
              <w:jc w:val="end"/>
              <w:rPr>
                <w:rFonts w:ascii="Arial" w:hAnsi="Arial" w:cs="Arial"/>
                <w:color w:val="000000"/>
                <w:sz w:val="22"/>
                <w:lang w:eastAsia="en-US"/>
              </w:rPr>
            </w:pPr>
            <w:r>
              <w:rPr>
                <w:rFonts w:cs="Arial" w:ascii="Arial" w:hAnsi="Arial"/>
                <w:color w:val="000000"/>
                <w:sz w:val="22"/>
                <w:lang w:eastAsia="en-US"/>
              </w:rPr>
              <w:t>2306.17</w:t>
            </w:r>
          </w:p>
        </w:tc>
        <w:tc>
          <w:tcPr>
            <w:tcW w:w="3360" w:type="dxa"/>
            <w:tcBorders>
              <w:top w:val="single" w:sz="2" w:space="0" w:color="000000"/>
              <w:start w:val="single" w:sz="2" w:space="0" w:color="000000"/>
              <w:bottom w:val="single" w:sz="6" w:space="0" w:color="000000"/>
              <w:end w:val="single" w:sz="6" w:space="0" w:color="000000"/>
            </w:tcBorders>
          </w:tcPr>
          <w:p>
            <w:pPr>
              <w:pStyle w:val="Normal"/>
              <w:jc w:val="end"/>
              <w:rPr>
                <w:rFonts w:ascii="Arial" w:hAnsi="Arial" w:cs="Arial"/>
                <w:color w:val="000000"/>
                <w:sz w:val="22"/>
                <w:lang w:eastAsia="en-US"/>
              </w:rPr>
            </w:pPr>
            <w:r>
              <w:rPr>
                <w:rFonts w:cs="Arial" w:ascii="Arial" w:hAnsi="Arial"/>
                <w:color w:val="000000"/>
                <w:sz w:val="22"/>
                <w:lang w:eastAsia="en-US"/>
              </w:rPr>
              <w:t>2.35</w:t>
            </w:r>
          </w:p>
        </w:tc>
        <w:tc>
          <w:tcPr>
            <w:tcW w:w="2767" w:type="dxa"/>
            <w:tcBorders>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93" w:hRule="atLeast"/>
        </w:trPr>
        <w:tc>
          <w:tcPr>
            <w:tcW w:w="1238" w:type="dxa"/>
            <w:tcBorders>
              <w:top w:val="single" w:sz="6" w:space="0" w:color="000000"/>
              <w:start w:val="single" w:sz="2" w:space="0" w:color="000000"/>
              <w:bottom w:val="single" w:sz="2" w:space="0" w:color="000000"/>
              <w:end w:val="single" w:sz="6"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c>
          <w:tcPr>
            <w:tcW w:w="3677" w:type="dxa"/>
            <w:tcBorders>
              <w:top w:val="single" w:sz="6" w:space="0" w:color="000000"/>
              <w:start w:val="single" w:sz="6" w:space="0" w:color="000000"/>
              <w:bottom w:val="single" w:sz="6" w:space="0" w:color="000000"/>
              <w:end w:val="single" w:sz="6" w:space="0" w:color="000000"/>
            </w:tcBorders>
            <w:shd w:fill="FFFFFF" w:val="clear"/>
          </w:tcPr>
          <w:p>
            <w:pPr>
              <w:pStyle w:val="Normal"/>
              <w:jc w:val="end"/>
              <w:rPr>
                <w:rFonts w:ascii="Arial" w:hAnsi="Arial" w:cs="Arial"/>
                <w:b/>
                <w:color w:val="000000"/>
                <w:sz w:val="22"/>
                <w:lang w:eastAsia="en-US"/>
              </w:rPr>
            </w:pPr>
            <w:r>
              <w:rPr>
                <w:rFonts w:cs="Arial" w:ascii="Arial" w:hAnsi="Arial"/>
                <w:b/>
                <w:color w:val="000000"/>
                <w:sz w:val="22"/>
                <w:lang w:eastAsia="en-US"/>
              </w:rPr>
              <w:t>PLANT MONTHLY TOTALS</w:t>
            </w:r>
          </w:p>
        </w:tc>
        <w:tc>
          <w:tcPr>
            <w:tcW w:w="2938"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sz w:val="22"/>
                <w:lang w:eastAsia="en-US"/>
              </w:rPr>
            </w:pPr>
            <w:r>
              <w:rPr>
                <w:rFonts w:cs="Arial" w:ascii="Arial" w:hAnsi="Arial"/>
                <w:b/>
                <w:color w:val="000000"/>
                <w:sz w:val="22"/>
                <w:lang w:eastAsia="en-US"/>
              </w:rPr>
              <w:t>2306.17</w:t>
            </w:r>
          </w:p>
        </w:tc>
        <w:tc>
          <w:tcPr>
            <w:tcW w:w="336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sz w:val="22"/>
                <w:lang w:eastAsia="en-US"/>
              </w:rPr>
            </w:pPr>
            <w:r>
              <w:rPr>
                <w:rFonts w:cs="Arial" w:ascii="Arial" w:hAnsi="Arial"/>
                <w:b/>
                <w:color w:val="000000"/>
                <w:sz w:val="22"/>
                <w:lang w:eastAsia="en-US"/>
              </w:rPr>
              <w:t>2.35</w:t>
            </w:r>
          </w:p>
        </w:tc>
        <w:tc>
          <w:tcPr>
            <w:tcW w:w="276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sz w:val="22"/>
                <w:lang w:eastAsia="en-US"/>
              </w:rPr>
            </w:pPr>
            <w:r>
              <w:rPr>
                <w:rFonts w:cs="Arial" w:ascii="Arial" w:hAnsi="Arial"/>
                <w:b/>
                <w:color w:val="000000"/>
                <w:sz w:val="22"/>
                <w:lang w:eastAsia="en-US"/>
              </w:rPr>
              <w:t>0.00</w:t>
            </w:r>
          </w:p>
        </w:tc>
      </w:tr>
      <w:tr>
        <w:trPr>
          <w:trHeight w:val="336" w:hRule="atLeast"/>
        </w:trPr>
        <w:tc>
          <w:tcPr>
            <w:tcW w:w="1238"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b/>
                <w:color w:val="000000"/>
                <w:sz w:val="22"/>
                <w:lang w:eastAsia="en-US"/>
              </w:rPr>
            </w:pPr>
            <w:r>
              <w:rPr>
                <w:rFonts w:cs="Arial" w:ascii="Arial" w:hAnsi="Arial"/>
                <w:b/>
                <w:color w:val="000000"/>
                <w:sz w:val="22"/>
                <w:lang w:eastAsia="en-US"/>
              </w:rPr>
              <w:t>Apr-00</w:t>
            </w:r>
          </w:p>
        </w:tc>
        <w:tc>
          <w:tcPr>
            <w:tcW w:w="3677"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c>
          <w:tcPr>
            <w:tcW w:w="2938"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3360"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2767"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53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cs="Arial" w:ascii="Arial" w:hAnsi="Arial"/>
                <w:b/>
                <w:color w:val="000000"/>
                <w:sz w:val="22"/>
                <w:lang w:eastAsia="en-US"/>
              </w:rPr>
              <w:t>Unit ID</w:t>
            </w:r>
          </w:p>
        </w:tc>
        <w:tc>
          <w:tcPr>
            <w:tcW w:w="3677"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b/>
                <w:color w:val="000000"/>
                <w:sz w:val="22"/>
                <w:lang w:eastAsia="en-US"/>
              </w:rPr>
              <w:t>Heat Content of Fuel (BTU/ft</w:t>
            </w:r>
            <w:r>
              <w:rPr>
                <w:rFonts w:cs="Arial" w:ascii="Arial" w:hAnsi="Arial"/>
                <w:b/>
                <w:color w:val="000000"/>
                <w:sz w:val="22"/>
                <w:vertAlign w:val="superscript"/>
                <w:lang w:eastAsia="en-US"/>
              </w:rPr>
              <w:t>3</w:t>
            </w:r>
            <w:r>
              <w:rPr>
                <w:rFonts w:cs="Arial" w:ascii="Arial" w:hAnsi="Arial"/>
                <w:b/>
                <w:color w:val="000000"/>
                <w:sz w:val="22"/>
                <w:lang w:eastAsia="en-US"/>
              </w:rPr>
              <w:t>)</w:t>
            </w:r>
          </w:p>
        </w:tc>
        <w:tc>
          <w:tcPr>
            <w:tcW w:w="2938"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b/>
                <w:color w:val="000000"/>
                <w:sz w:val="22"/>
                <w:lang w:eastAsia="en-US"/>
              </w:rPr>
              <w:t>Fuel Usage (ft</w:t>
            </w:r>
            <w:r>
              <w:rPr>
                <w:rFonts w:cs="Arial" w:ascii="Arial" w:hAnsi="Arial"/>
                <w:b/>
                <w:color w:val="000000"/>
                <w:sz w:val="22"/>
                <w:vertAlign w:val="superscript"/>
                <w:lang w:eastAsia="en-US"/>
              </w:rPr>
              <w:t>3</w:t>
            </w:r>
            <w:r>
              <w:rPr>
                <w:rFonts w:cs="Arial" w:ascii="Arial" w:hAnsi="Arial"/>
                <w:b/>
                <w:color w:val="000000"/>
                <w:sz w:val="22"/>
                <w:lang w:eastAsia="en-US"/>
              </w:rPr>
              <w:t>/month)</w:t>
            </w:r>
          </w:p>
        </w:tc>
        <w:tc>
          <w:tcPr>
            <w:tcW w:w="3360"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b/>
                <w:color w:val="000000"/>
                <w:sz w:val="22"/>
                <w:lang w:eastAsia="en-US"/>
              </w:rPr>
              <w:t xml:space="preserve">Heat Input  (MMBTU/month) </w:t>
            </w:r>
            <w:r>
              <w:rPr>
                <w:rFonts w:cs="Arial" w:ascii="Arial" w:hAnsi="Arial"/>
                <w:color w:val="000000"/>
                <w:sz w:val="22"/>
                <w:lang w:eastAsia="en-US"/>
              </w:rPr>
              <w:t>(as calculated on site)</w:t>
            </w:r>
          </w:p>
        </w:tc>
        <w:tc>
          <w:tcPr>
            <w:tcW w:w="2767"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b/>
                <w:color w:val="000000"/>
                <w:sz w:val="22"/>
                <w:lang w:eastAsia="en-US"/>
              </w:rPr>
              <w:t xml:space="preserve">Heat Input  (MMBTU/month) </w:t>
            </w:r>
            <w:r>
              <w:rPr>
                <w:rFonts w:cs="Arial" w:ascii="Arial" w:hAnsi="Arial"/>
                <w:color w:val="000000"/>
                <w:sz w:val="22"/>
                <w:lang w:eastAsia="en-US"/>
              </w:rPr>
              <w:t>(as calculated by ANR)</w:t>
            </w:r>
          </w:p>
        </w:tc>
      </w:tr>
      <w:tr>
        <w:trPr>
          <w:trHeight w:val="28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AA-001</w:t>
            </w:r>
          </w:p>
        </w:tc>
        <w:tc>
          <w:tcPr>
            <w:tcW w:w="3677" w:type="dxa"/>
            <w:tcBorders>
              <w:top w:val="single" w:sz="6" w:space="0" w:color="000000"/>
              <w:start w:val="single" w:sz="6"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1,016.00 </w:t>
            </w:r>
          </w:p>
        </w:tc>
        <w:tc>
          <w:tcPr>
            <w:tcW w:w="2938" w:type="dxa"/>
            <w:tcBorders>
              <w:top w:val="single" w:sz="6"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2,588,311.56 </w:t>
            </w:r>
          </w:p>
        </w:tc>
        <w:tc>
          <w:tcPr>
            <w:tcW w:w="3360" w:type="dxa"/>
            <w:tcBorders>
              <w:top w:val="single" w:sz="6" w:space="0" w:color="000000"/>
              <w:start w:val="single" w:sz="2" w:space="0" w:color="000000"/>
              <w:bottom w:val="single" w:sz="2" w:space="0" w:color="000000"/>
              <w:end w:val="single" w:sz="6"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2,629.72 </w:t>
            </w:r>
          </w:p>
        </w:tc>
        <w:tc>
          <w:tcPr>
            <w:tcW w:w="2767"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8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AA-002</w:t>
            </w:r>
          </w:p>
        </w:tc>
        <w:tc>
          <w:tcPr>
            <w:tcW w:w="3677" w:type="dxa"/>
            <w:tcBorders>
              <w:top w:val="single" w:sz="2" w:space="0" w:color="000000"/>
              <w:start w:val="single" w:sz="6"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1,016.00 </w:t>
            </w:r>
          </w:p>
        </w:tc>
        <w:tc>
          <w:tcPr>
            <w:tcW w:w="2938"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6,133,994.76 </w:t>
            </w:r>
          </w:p>
        </w:tc>
        <w:tc>
          <w:tcPr>
            <w:tcW w:w="3360" w:type="dxa"/>
            <w:tcBorders>
              <w:top w:val="single" w:sz="2" w:space="0" w:color="000000"/>
              <w:start w:val="single" w:sz="2" w:space="0" w:color="000000"/>
              <w:bottom w:val="single" w:sz="2" w:space="0" w:color="000000"/>
              <w:end w:val="single" w:sz="6"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6,232.14 </w:t>
            </w:r>
          </w:p>
        </w:tc>
        <w:tc>
          <w:tcPr>
            <w:tcW w:w="2767" w:type="dxa"/>
            <w:tcBorders>
              <w:start w:val="single" w:sz="6" w:space="0" w:color="000000"/>
              <w:end w:val="single" w:sz="6" w:space="0" w:color="000000"/>
            </w:tcBorders>
            <w:shd w:fill="C0C0C0"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8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AA-003</w:t>
            </w:r>
          </w:p>
        </w:tc>
        <w:tc>
          <w:tcPr>
            <w:tcW w:w="3677" w:type="dxa"/>
            <w:tcBorders>
              <w:top w:val="single" w:sz="2" w:space="0" w:color="000000"/>
              <w:start w:val="single" w:sz="6"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1,016.00 </w:t>
            </w:r>
          </w:p>
        </w:tc>
        <w:tc>
          <w:tcPr>
            <w:tcW w:w="2938"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9,938,529.61 </w:t>
            </w:r>
          </w:p>
        </w:tc>
        <w:tc>
          <w:tcPr>
            <w:tcW w:w="3360" w:type="dxa"/>
            <w:tcBorders>
              <w:top w:val="single" w:sz="2" w:space="0" w:color="000000"/>
              <w:start w:val="single" w:sz="2" w:space="0" w:color="000000"/>
              <w:bottom w:val="single" w:sz="2" w:space="0" w:color="000000"/>
              <w:end w:val="single" w:sz="6"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10,097.55 </w:t>
            </w:r>
          </w:p>
        </w:tc>
        <w:tc>
          <w:tcPr>
            <w:tcW w:w="2767" w:type="dxa"/>
            <w:tcBorders>
              <w:start w:val="single" w:sz="6" w:space="0" w:color="000000"/>
              <w:end w:val="single" w:sz="6" w:space="0" w:color="000000"/>
            </w:tcBorders>
            <w:shd w:fill="C0C0C0"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8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AA-004</w:t>
            </w:r>
          </w:p>
        </w:tc>
        <w:tc>
          <w:tcPr>
            <w:tcW w:w="3677" w:type="dxa"/>
            <w:tcBorders>
              <w:top w:val="single" w:sz="2" w:space="0" w:color="000000"/>
              <w:start w:val="single" w:sz="6"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1,016.00 </w:t>
            </w:r>
          </w:p>
        </w:tc>
        <w:tc>
          <w:tcPr>
            <w:tcW w:w="2938"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4,092,048.17 </w:t>
            </w:r>
          </w:p>
        </w:tc>
        <w:tc>
          <w:tcPr>
            <w:tcW w:w="3360" w:type="dxa"/>
            <w:tcBorders>
              <w:top w:val="single" w:sz="2" w:space="0" w:color="000000"/>
              <w:start w:val="single" w:sz="2" w:space="0" w:color="000000"/>
              <w:bottom w:val="single" w:sz="2" w:space="0" w:color="000000"/>
              <w:end w:val="single" w:sz="6"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4,157.52 </w:t>
            </w:r>
          </w:p>
        </w:tc>
        <w:tc>
          <w:tcPr>
            <w:tcW w:w="2767" w:type="dxa"/>
            <w:tcBorders>
              <w:start w:val="single" w:sz="6" w:space="0" w:color="000000"/>
              <w:end w:val="single" w:sz="6" w:space="0" w:color="000000"/>
            </w:tcBorders>
            <w:shd w:fill="C0C0C0"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8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AA-005</w:t>
            </w:r>
          </w:p>
        </w:tc>
        <w:tc>
          <w:tcPr>
            <w:tcW w:w="3677" w:type="dxa"/>
            <w:tcBorders>
              <w:top w:val="single" w:sz="2" w:space="0" w:color="000000"/>
              <w:start w:val="single" w:sz="6" w:space="0" w:color="000000"/>
              <w:bottom w:val="single" w:sz="6"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1,016.00 </w:t>
            </w:r>
          </w:p>
        </w:tc>
        <w:tc>
          <w:tcPr>
            <w:tcW w:w="2938"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7,292.23 </w:t>
            </w:r>
          </w:p>
        </w:tc>
        <w:tc>
          <w:tcPr>
            <w:tcW w:w="3360" w:type="dxa"/>
            <w:tcBorders>
              <w:top w:val="single" w:sz="2" w:space="0" w:color="000000"/>
              <w:start w:val="single" w:sz="2"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7.41 </w:t>
            </w:r>
          </w:p>
        </w:tc>
        <w:tc>
          <w:tcPr>
            <w:tcW w:w="2767" w:type="dxa"/>
            <w:tcBorders>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93" w:hRule="atLeast"/>
        </w:trPr>
        <w:tc>
          <w:tcPr>
            <w:tcW w:w="1238" w:type="dxa"/>
            <w:tcBorders>
              <w:top w:val="single" w:sz="6" w:space="0" w:color="000000"/>
              <w:start w:val="single" w:sz="2" w:space="0" w:color="000000"/>
              <w:bottom w:val="single" w:sz="2" w:space="0" w:color="000000"/>
              <w:end w:val="single" w:sz="6"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c>
          <w:tcPr>
            <w:tcW w:w="3677" w:type="dxa"/>
            <w:tcBorders>
              <w:top w:val="single" w:sz="6" w:space="0" w:color="000000"/>
              <w:start w:val="single" w:sz="6" w:space="0" w:color="000000"/>
              <w:bottom w:val="single" w:sz="6" w:space="0" w:color="000000"/>
              <w:end w:val="single" w:sz="6" w:space="0" w:color="000000"/>
            </w:tcBorders>
            <w:shd w:fill="FFFFFF" w:val="clear"/>
          </w:tcPr>
          <w:p>
            <w:pPr>
              <w:pStyle w:val="Normal"/>
              <w:jc w:val="end"/>
              <w:rPr>
                <w:rFonts w:ascii="Arial" w:hAnsi="Arial" w:cs="Arial"/>
                <w:b/>
                <w:color w:val="000000"/>
                <w:sz w:val="22"/>
                <w:lang w:eastAsia="en-US"/>
              </w:rPr>
            </w:pPr>
            <w:r>
              <w:rPr>
                <w:rFonts w:cs="Arial" w:ascii="Arial" w:hAnsi="Arial"/>
                <w:b/>
                <w:color w:val="000000"/>
                <w:sz w:val="22"/>
                <w:lang w:eastAsia="en-US"/>
              </w:rPr>
              <w:t>PLANT MONTHLY TOTALS</w:t>
            </w:r>
          </w:p>
        </w:tc>
        <w:tc>
          <w:tcPr>
            <w:tcW w:w="29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eastAsia="Arial" w:cs="Arial" w:ascii="Arial" w:hAnsi="Arial"/>
                <w:b/>
                <w:color w:val="000000"/>
                <w:sz w:val="22"/>
                <w:lang w:eastAsia="en-US"/>
              </w:rPr>
              <w:t xml:space="preserve">                    </w:t>
            </w:r>
            <w:r>
              <w:rPr>
                <w:rFonts w:cs="Arial" w:ascii="Arial" w:hAnsi="Arial"/>
                <w:b/>
                <w:color w:val="000000"/>
                <w:sz w:val="22"/>
                <w:lang w:eastAsia="en-US"/>
              </w:rPr>
              <w:t xml:space="preserve">22,760,176.33 </w:t>
            </w:r>
          </w:p>
        </w:tc>
        <w:tc>
          <w:tcPr>
            <w:tcW w:w="33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eastAsia="Arial" w:cs="Arial" w:ascii="Arial" w:hAnsi="Arial"/>
                <w:b/>
                <w:color w:val="000000"/>
                <w:sz w:val="22"/>
                <w:lang w:eastAsia="en-US"/>
              </w:rPr>
              <w:t xml:space="preserve">                                   </w:t>
            </w:r>
            <w:r>
              <w:rPr>
                <w:rFonts w:cs="Arial" w:ascii="Arial" w:hAnsi="Arial"/>
                <w:b/>
                <w:color w:val="000000"/>
                <w:sz w:val="22"/>
                <w:lang w:eastAsia="en-US"/>
              </w:rPr>
              <w:t xml:space="preserve">23,124.34 </w:t>
            </w:r>
          </w:p>
        </w:tc>
        <w:tc>
          <w:tcPr>
            <w:tcW w:w="276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eastAsia="Arial" w:cs="Arial" w:ascii="Arial" w:hAnsi="Arial"/>
                <w:b/>
                <w:color w:val="000000"/>
                <w:sz w:val="22"/>
                <w:lang w:eastAsia="en-US"/>
              </w:rPr>
              <w:t xml:space="preserve">                                   </w:t>
            </w:r>
            <w:r>
              <w:rPr>
                <w:rFonts w:cs="Arial" w:ascii="Arial" w:hAnsi="Arial"/>
                <w:b/>
                <w:color w:val="000000"/>
                <w:sz w:val="22"/>
                <w:lang w:eastAsia="en-US"/>
              </w:rPr>
              <w:t xml:space="preserve">23,587.00 </w:t>
            </w:r>
          </w:p>
        </w:tc>
      </w:tr>
      <w:tr>
        <w:trPr>
          <w:trHeight w:val="293" w:hRule="atLeast"/>
        </w:trPr>
        <w:tc>
          <w:tcPr>
            <w:tcW w:w="1238" w:type="dxa"/>
            <w:tcBorders>
              <w:top w:val="single" w:sz="6" w:space="0" w:color="000000"/>
              <w:start w:val="single" w:sz="2" w:space="0" w:color="000000"/>
              <w:bottom w:val="single" w:sz="2" w:space="0" w:color="000000"/>
              <w:end w:val="single" w:sz="6"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p>
            <w:pPr>
              <w:pStyle w:val="Normal"/>
              <w:jc w:val="center"/>
              <w:rPr>
                <w:rFonts w:ascii="Arial" w:hAnsi="Arial" w:cs="Arial"/>
                <w:b/>
                <w:color w:val="000000"/>
                <w:sz w:val="22"/>
                <w:lang w:eastAsia="en-US"/>
              </w:rPr>
            </w:pPr>
            <w:r>
              <w:rPr>
                <w:rFonts w:cs="Arial" w:ascii="Arial" w:hAnsi="Arial"/>
                <w:b/>
                <w:color w:val="000000"/>
                <w:sz w:val="22"/>
                <w:lang w:eastAsia="en-US"/>
              </w:rPr>
            </w:r>
          </w:p>
          <w:p>
            <w:pPr>
              <w:pStyle w:val="Normal"/>
              <w:jc w:val="center"/>
              <w:rPr>
                <w:rFonts w:ascii="Arial" w:hAnsi="Arial" w:cs="Arial"/>
                <w:b/>
                <w:color w:val="000000"/>
                <w:sz w:val="22"/>
                <w:lang w:eastAsia="en-US"/>
              </w:rPr>
            </w:pPr>
            <w:r>
              <w:rPr>
                <w:rFonts w:cs="Arial" w:ascii="Arial" w:hAnsi="Arial"/>
                <w:b/>
                <w:color w:val="000000"/>
                <w:sz w:val="22"/>
                <w:lang w:eastAsia="en-US"/>
              </w:rPr>
            </w:r>
          </w:p>
          <w:p>
            <w:pPr>
              <w:pStyle w:val="Normal"/>
              <w:jc w:val="center"/>
              <w:rPr>
                <w:rFonts w:ascii="Arial" w:hAnsi="Arial" w:cs="Arial"/>
                <w:b/>
                <w:color w:val="000000"/>
                <w:sz w:val="22"/>
                <w:lang w:eastAsia="en-US"/>
              </w:rPr>
            </w:pPr>
            <w:r>
              <w:rPr>
                <w:rFonts w:cs="Arial" w:ascii="Arial" w:hAnsi="Arial"/>
                <w:b/>
                <w:color w:val="000000"/>
                <w:sz w:val="22"/>
                <w:lang w:eastAsia="en-US"/>
              </w:rPr>
            </w:r>
          </w:p>
          <w:p>
            <w:pPr>
              <w:pStyle w:val="Normal"/>
              <w:jc w:val="center"/>
              <w:rPr>
                <w:rFonts w:ascii="Arial" w:hAnsi="Arial" w:cs="Arial"/>
                <w:b/>
                <w:color w:val="000000"/>
                <w:sz w:val="22"/>
                <w:lang w:eastAsia="en-US"/>
              </w:rPr>
            </w:pPr>
            <w:r>
              <w:rPr>
                <w:rFonts w:cs="Arial" w:ascii="Arial" w:hAnsi="Arial"/>
                <w:b/>
                <w:color w:val="000000"/>
                <w:sz w:val="22"/>
                <w:lang w:eastAsia="en-US"/>
              </w:rPr>
            </w:r>
          </w:p>
          <w:p>
            <w:pPr>
              <w:pStyle w:val="Normal"/>
              <w:jc w:val="center"/>
              <w:rPr>
                <w:rFonts w:ascii="Arial" w:hAnsi="Arial" w:cs="Arial"/>
                <w:b/>
                <w:color w:val="000000"/>
                <w:sz w:val="22"/>
                <w:lang w:eastAsia="en-US"/>
              </w:rPr>
            </w:pPr>
            <w:r>
              <w:rPr>
                <w:rFonts w:cs="Arial" w:ascii="Arial" w:hAnsi="Arial"/>
                <w:b/>
                <w:color w:val="000000"/>
                <w:sz w:val="22"/>
                <w:lang w:eastAsia="en-US"/>
              </w:rPr>
            </w:r>
          </w:p>
          <w:p>
            <w:pPr>
              <w:pStyle w:val="Normal"/>
              <w:jc w:val="center"/>
              <w:rPr>
                <w:rFonts w:ascii="Arial" w:hAnsi="Arial" w:cs="Arial"/>
                <w:b/>
                <w:color w:val="000000"/>
                <w:sz w:val="22"/>
                <w:lang w:eastAsia="en-US"/>
              </w:rPr>
            </w:pPr>
            <w:r>
              <w:rPr>
                <w:rFonts w:cs="Arial" w:ascii="Arial" w:hAnsi="Arial"/>
                <w:b/>
                <w:color w:val="000000"/>
                <w:sz w:val="22"/>
                <w:lang w:eastAsia="en-US"/>
              </w:rPr>
            </w:r>
          </w:p>
          <w:p>
            <w:pPr>
              <w:pStyle w:val="Normal"/>
              <w:rPr>
                <w:rFonts w:ascii="Arial" w:hAnsi="Arial" w:cs="Arial"/>
                <w:b/>
                <w:color w:val="000000"/>
                <w:sz w:val="22"/>
                <w:lang w:eastAsia="en-US"/>
              </w:rPr>
            </w:pPr>
            <w:r>
              <w:rPr>
                <w:rFonts w:cs="Arial" w:ascii="Arial" w:hAnsi="Arial"/>
                <w:b/>
                <w:color w:val="000000"/>
                <w:sz w:val="22"/>
                <w:lang w:eastAsia="en-US"/>
              </w:rPr>
            </w:r>
          </w:p>
          <w:p>
            <w:pPr>
              <w:pStyle w:val="Normal"/>
              <w:rPr>
                <w:rFonts w:ascii="Arial" w:hAnsi="Arial" w:cs="Arial"/>
                <w:b/>
                <w:color w:val="000000"/>
                <w:sz w:val="22"/>
                <w:lang w:eastAsia="en-US"/>
              </w:rPr>
            </w:pPr>
            <w:r>
              <w:rPr>
                <w:rFonts w:cs="Arial" w:ascii="Arial" w:hAnsi="Arial"/>
                <w:b/>
                <w:color w:val="000000"/>
                <w:sz w:val="22"/>
                <w:lang w:eastAsia="en-US"/>
              </w:rPr>
            </w:r>
          </w:p>
        </w:tc>
        <w:tc>
          <w:tcPr>
            <w:tcW w:w="367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rFonts w:ascii="Arial" w:hAnsi="Arial" w:cs="Arial"/>
                <w:b/>
                <w:color w:val="000000"/>
                <w:sz w:val="22"/>
                <w:lang w:eastAsia="en-US"/>
              </w:rPr>
            </w:pPr>
            <w:r>
              <w:rPr>
                <w:rFonts w:cs="Arial" w:ascii="Arial" w:hAnsi="Arial"/>
                <w:b/>
                <w:color w:val="000000"/>
                <w:sz w:val="22"/>
                <w:lang w:eastAsia="en-US"/>
              </w:rPr>
            </w:r>
          </w:p>
        </w:tc>
        <w:tc>
          <w:tcPr>
            <w:tcW w:w="293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c>
          <w:tcPr>
            <w:tcW w:w="33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c>
          <w:tcPr>
            <w:tcW w:w="276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r>
      <w:tr>
        <w:trPr>
          <w:trHeight w:val="336" w:hRule="atLeast"/>
        </w:trPr>
        <w:tc>
          <w:tcPr>
            <w:tcW w:w="1238"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b/>
                <w:color w:val="000000"/>
                <w:sz w:val="22"/>
                <w:lang w:eastAsia="en-US"/>
              </w:rPr>
            </w:pPr>
            <w:r>
              <w:rPr>
                <w:rFonts w:cs="Arial" w:ascii="Arial" w:hAnsi="Arial"/>
                <w:b/>
                <w:color w:val="000000"/>
                <w:sz w:val="22"/>
                <w:lang w:eastAsia="en-US"/>
              </w:rPr>
              <w:t>May-00</w:t>
            </w:r>
          </w:p>
        </w:tc>
        <w:tc>
          <w:tcPr>
            <w:tcW w:w="3677"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c>
          <w:tcPr>
            <w:tcW w:w="2938"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3360"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2767"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53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cs="Arial" w:ascii="Arial" w:hAnsi="Arial"/>
                <w:b/>
                <w:color w:val="000000"/>
                <w:sz w:val="22"/>
                <w:lang w:eastAsia="en-US"/>
              </w:rPr>
              <w:t>Unit ID</w:t>
            </w:r>
          </w:p>
        </w:tc>
        <w:tc>
          <w:tcPr>
            <w:tcW w:w="3677"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b/>
                <w:color w:val="000000"/>
                <w:sz w:val="22"/>
                <w:lang w:eastAsia="en-US"/>
              </w:rPr>
              <w:t>Heat Content of Fuel (BTU/ft</w:t>
            </w:r>
            <w:r>
              <w:rPr>
                <w:rFonts w:cs="Arial" w:ascii="Arial" w:hAnsi="Arial"/>
                <w:b/>
                <w:color w:val="000000"/>
                <w:sz w:val="22"/>
                <w:vertAlign w:val="superscript"/>
                <w:lang w:eastAsia="en-US"/>
              </w:rPr>
              <w:t>3</w:t>
            </w:r>
            <w:r>
              <w:rPr>
                <w:rFonts w:cs="Arial" w:ascii="Arial" w:hAnsi="Arial"/>
                <w:b/>
                <w:color w:val="000000"/>
                <w:sz w:val="22"/>
                <w:lang w:eastAsia="en-US"/>
              </w:rPr>
              <w:t>)</w:t>
            </w:r>
          </w:p>
        </w:tc>
        <w:tc>
          <w:tcPr>
            <w:tcW w:w="2938"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b/>
                <w:color w:val="000000"/>
                <w:sz w:val="22"/>
                <w:lang w:eastAsia="en-US"/>
              </w:rPr>
              <w:t>Fuel Usage (ft</w:t>
            </w:r>
            <w:r>
              <w:rPr>
                <w:rFonts w:cs="Arial" w:ascii="Arial" w:hAnsi="Arial"/>
                <w:b/>
                <w:color w:val="000000"/>
                <w:sz w:val="22"/>
                <w:vertAlign w:val="superscript"/>
                <w:lang w:eastAsia="en-US"/>
              </w:rPr>
              <w:t>3</w:t>
            </w:r>
            <w:r>
              <w:rPr>
                <w:rFonts w:cs="Arial" w:ascii="Arial" w:hAnsi="Arial"/>
                <w:b/>
                <w:color w:val="000000"/>
                <w:sz w:val="22"/>
                <w:lang w:eastAsia="en-US"/>
              </w:rPr>
              <w:t>/month)</w:t>
            </w:r>
          </w:p>
        </w:tc>
        <w:tc>
          <w:tcPr>
            <w:tcW w:w="3360"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b/>
                <w:color w:val="000000"/>
                <w:sz w:val="22"/>
                <w:lang w:eastAsia="en-US"/>
              </w:rPr>
              <w:t xml:space="preserve">Heat Input  (MMBTU/month) </w:t>
            </w:r>
            <w:r>
              <w:rPr>
                <w:rFonts w:cs="Arial" w:ascii="Arial" w:hAnsi="Arial"/>
                <w:color w:val="000000"/>
                <w:sz w:val="22"/>
                <w:lang w:eastAsia="en-US"/>
              </w:rPr>
              <w:t>(as calculated on site)</w:t>
            </w:r>
          </w:p>
        </w:tc>
        <w:tc>
          <w:tcPr>
            <w:tcW w:w="2767"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b/>
                <w:color w:val="000000"/>
                <w:sz w:val="22"/>
                <w:lang w:eastAsia="en-US"/>
              </w:rPr>
              <w:t xml:space="preserve">Heat Input  (MMBTU/month) </w:t>
            </w:r>
            <w:r>
              <w:rPr>
                <w:rFonts w:cs="Arial" w:ascii="Arial" w:hAnsi="Arial"/>
                <w:color w:val="000000"/>
                <w:sz w:val="22"/>
                <w:lang w:eastAsia="en-US"/>
              </w:rPr>
              <w:t>(as calculated by ANR)</w:t>
            </w:r>
          </w:p>
        </w:tc>
      </w:tr>
      <w:tr>
        <w:trPr>
          <w:trHeight w:val="28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AA-001</w:t>
            </w:r>
          </w:p>
        </w:tc>
        <w:tc>
          <w:tcPr>
            <w:tcW w:w="3677" w:type="dxa"/>
            <w:tcBorders>
              <w:top w:val="single" w:sz="6" w:space="0" w:color="000000"/>
              <w:start w:val="single" w:sz="6"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1,017.00 </w:t>
            </w:r>
          </w:p>
        </w:tc>
        <w:tc>
          <w:tcPr>
            <w:tcW w:w="2938" w:type="dxa"/>
            <w:tcBorders>
              <w:top w:val="single" w:sz="6"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107,208,339.07 </w:t>
            </w:r>
          </w:p>
        </w:tc>
        <w:tc>
          <w:tcPr>
            <w:tcW w:w="3360" w:type="dxa"/>
            <w:tcBorders>
              <w:top w:val="single" w:sz="6" w:space="0" w:color="000000"/>
              <w:start w:val="single" w:sz="2" w:space="0" w:color="000000"/>
              <w:bottom w:val="single" w:sz="2" w:space="0" w:color="000000"/>
              <w:end w:val="single" w:sz="6"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109,030.88 </w:t>
            </w:r>
          </w:p>
        </w:tc>
        <w:tc>
          <w:tcPr>
            <w:tcW w:w="2767"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8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AA-002</w:t>
            </w:r>
          </w:p>
        </w:tc>
        <w:tc>
          <w:tcPr>
            <w:tcW w:w="3677" w:type="dxa"/>
            <w:tcBorders>
              <w:top w:val="single" w:sz="2" w:space="0" w:color="000000"/>
              <w:start w:val="single" w:sz="6"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1,017.00 </w:t>
            </w:r>
          </w:p>
        </w:tc>
        <w:tc>
          <w:tcPr>
            <w:tcW w:w="2938"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120,472,155.21 </w:t>
            </w:r>
          </w:p>
        </w:tc>
        <w:tc>
          <w:tcPr>
            <w:tcW w:w="3360" w:type="dxa"/>
            <w:tcBorders>
              <w:top w:val="single" w:sz="2" w:space="0" w:color="000000"/>
              <w:start w:val="single" w:sz="2" w:space="0" w:color="000000"/>
              <w:bottom w:val="single" w:sz="2" w:space="0" w:color="000000"/>
              <w:end w:val="single" w:sz="6"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122,520.18 </w:t>
            </w:r>
          </w:p>
        </w:tc>
        <w:tc>
          <w:tcPr>
            <w:tcW w:w="2767" w:type="dxa"/>
            <w:tcBorders>
              <w:start w:val="single" w:sz="6" w:space="0" w:color="000000"/>
              <w:end w:val="single" w:sz="6" w:space="0" w:color="000000"/>
            </w:tcBorders>
            <w:shd w:fill="C0C0C0"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8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AA-003</w:t>
            </w:r>
          </w:p>
        </w:tc>
        <w:tc>
          <w:tcPr>
            <w:tcW w:w="3677" w:type="dxa"/>
            <w:tcBorders>
              <w:top w:val="single" w:sz="2" w:space="0" w:color="000000"/>
              <w:start w:val="single" w:sz="6"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1,017.00 </w:t>
            </w:r>
          </w:p>
        </w:tc>
        <w:tc>
          <w:tcPr>
            <w:tcW w:w="2938"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107,929,342.38 </w:t>
            </w:r>
          </w:p>
        </w:tc>
        <w:tc>
          <w:tcPr>
            <w:tcW w:w="3360" w:type="dxa"/>
            <w:tcBorders>
              <w:top w:val="single" w:sz="2" w:space="0" w:color="000000"/>
              <w:start w:val="single" w:sz="2" w:space="0" w:color="000000"/>
              <w:bottom w:val="single" w:sz="2" w:space="0" w:color="000000"/>
              <w:end w:val="single" w:sz="6"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109,764.14 </w:t>
            </w:r>
          </w:p>
        </w:tc>
        <w:tc>
          <w:tcPr>
            <w:tcW w:w="2767" w:type="dxa"/>
            <w:tcBorders>
              <w:start w:val="single" w:sz="6" w:space="0" w:color="000000"/>
              <w:end w:val="single" w:sz="6" w:space="0" w:color="000000"/>
            </w:tcBorders>
            <w:shd w:fill="C0C0C0"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8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AA-004</w:t>
            </w:r>
          </w:p>
        </w:tc>
        <w:tc>
          <w:tcPr>
            <w:tcW w:w="3677" w:type="dxa"/>
            <w:tcBorders>
              <w:top w:val="single" w:sz="2" w:space="0" w:color="000000"/>
              <w:start w:val="single" w:sz="6"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1,017.00 </w:t>
            </w:r>
          </w:p>
        </w:tc>
        <w:tc>
          <w:tcPr>
            <w:tcW w:w="2938"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128,516,221.56 </w:t>
            </w:r>
          </w:p>
        </w:tc>
        <w:tc>
          <w:tcPr>
            <w:tcW w:w="3360" w:type="dxa"/>
            <w:tcBorders>
              <w:top w:val="single" w:sz="2" w:space="0" w:color="000000"/>
              <w:start w:val="single" w:sz="2" w:space="0" w:color="000000"/>
              <w:bottom w:val="single" w:sz="2" w:space="0" w:color="000000"/>
              <w:end w:val="single" w:sz="6"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130,701.00 </w:t>
            </w:r>
          </w:p>
        </w:tc>
        <w:tc>
          <w:tcPr>
            <w:tcW w:w="2767" w:type="dxa"/>
            <w:tcBorders>
              <w:start w:val="single" w:sz="6" w:space="0" w:color="000000"/>
              <w:end w:val="single" w:sz="6" w:space="0" w:color="000000"/>
            </w:tcBorders>
            <w:shd w:fill="C0C0C0"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8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AA-005</w:t>
            </w:r>
          </w:p>
        </w:tc>
        <w:tc>
          <w:tcPr>
            <w:tcW w:w="3677" w:type="dxa"/>
            <w:tcBorders>
              <w:top w:val="single" w:sz="2" w:space="0" w:color="000000"/>
              <w:start w:val="single" w:sz="6" w:space="0" w:color="000000"/>
              <w:bottom w:val="single" w:sz="6"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1,017.00 </w:t>
            </w:r>
          </w:p>
        </w:tc>
        <w:tc>
          <w:tcPr>
            <w:tcW w:w="2938"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73,229.28 </w:t>
            </w:r>
          </w:p>
        </w:tc>
        <w:tc>
          <w:tcPr>
            <w:tcW w:w="3360" w:type="dxa"/>
            <w:tcBorders>
              <w:top w:val="single" w:sz="2" w:space="0" w:color="000000"/>
              <w:start w:val="single" w:sz="2"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74.47 </w:t>
            </w:r>
          </w:p>
        </w:tc>
        <w:tc>
          <w:tcPr>
            <w:tcW w:w="2767" w:type="dxa"/>
            <w:tcBorders>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93" w:hRule="atLeast"/>
        </w:trPr>
        <w:tc>
          <w:tcPr>
            <w:tcW w:w="1238" w:type="dxa"/>
            <w:tcBorders>
              <w:top w:val="single" w:sz="6" w:space="0" w:color="000000"/>
              <w:start w:val="single" w:sz="2" w:space="0" w:color="000000"/>
              <w:bottom w:val="single" w:sz="2" w:space="0" w:color="000000"/>
              <w:end w:val="single" w:sz="6"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c>
          <w:tcPr>
            <w:tcW w:w="3677" w:type="dxa"/>
            <w:tcBorders>
              <w:top w:val="single" w:sz="6" w:space="0" w:color="000000"/>
              <w:start w:val="single" w:sz="6" w:space="0" w:color="000000"/>
              <w:bottom w:val="single" w:sz="6" w:space="0" w:color="000000"/>
              <w:end w:val="single" w:sz="6" w:space="0" w:color="000000"/>
            </w:tcBorders>
            <w:shd w:fill="FFFFFF" w:val="clear"/>
          </w:tcPr>
          <w:p>
            <w:pPr>
              <w:pStyle w:val="Normal"/>
              <w:jc w:val="end"/>
              <w:rPr>
                <w:rFonts w:ascii="Arial" w:hAnsi="Arial" w:cs="Arial"/>
                <w:b/>
                <w:color w:val="000000"/>
                <w:sz w:val="22"/>
                <w:lang w:eastAsia="en-US"/>
              </w:rPr>
            </w:pPr>
            <w:r>
              <w:rPr>
                <w:rFonts w:cs="Arial" w:ascii="Arial" w:hAnsi="Arial"/>
                <w:b/>
                <w:color w:val="000000"/>
                <w:sz w:val="22"/>
                <w:lang w:eastAsia="en-US"/>
              </w:rPr>
              <w:t>PLANT MONTHLY TOTALS</w:t>
            </w:r>
          </w:p>
        </w:tc>
        <w:tc>
          <w:tcPr>
            <w:tcW w:w="29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eastAsia="Arial" w:cs="Arial" w:ascii="Arial" w:hAnsi="Arial"/>
                <w:b/>
                <w:color w:val="000000"/>
                <w:sz w:val="22"/>
                <w:lang w:eastAsia="en-US"/>
              </w:rPr>
              <w:t xml:space="preserve">                  </w:t>
            </w:r>
            <w:r>
              <w:rPr>
                <w:rFonts w:cs="Arial" w:ascii="Arial" w:hAnsi="Arial"/>
                <w:b/>
                <w:color w:val="000000"/>
                <w:sz w:val="22"/>
                <w:lang w:eastAsia="en-US"/>
              </w:rPr>
              <w:t xml:space="preserve">464,199,287.50 </w:t>
            </w:r>
          </w:p>
        </w:tc>
        <w:tc>
          <w:tcPr>
            <w:tcW w:w="33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eastAsia="Arial" w:cs="Arial" w:ascii="Arial" w:hAnsi="Arial"/>
                <w:b/>
                <w:color w:val="000000"/>
                <w:sz w:val="22"/>
                <w:lang w:eastAsia="en-US"/>
              </w:rPr>
              <w:t xml:space="preserve">                                </w:t>
            </w:r>
            <w:r>
              <w:rPr>
                <w:rFonts w:cs="Arial" w:ascii="Arial" w:hAnsi="Arial"/>
                <w:b/>
                <w:color w:val="000000"/>
                <w:sz w:val="22"/>
                <w:lang w:eastAsia="en-US"/>
              </w:rPr>
              <w:t xml:space="preserve">472,090.68 </w:t>
            </w:r>
          </w:p>
        </w:tc>
        <w:tc>
          <w:tcPr>
            <w:tcW w:w="276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eastAsia="Arial" w:cs="Arial" w:ascii="Arial" w:hAnsi="Arial"/>
                <w:b/>
                <w:color w:val="000000"/>
                <w:sz w:val="22"/>
                <w:lang w:eastAsia="en-US"/>
              </w:rPr>
              <w:t xml:space="preserve">                                </w:t>
            </w:r>
            <w:r>
              <w:rPr>
                <w:rFonts w:cs="Arial" w:ascii="Arial" w:hAnsi="Arial"/>
                <w:b/>
                <w:color w:val="000000"/>
                <w:sz w:val="22"/>
                <w:lang w:eastAsia="en-US"/>
              </w:rPr>
              <w:t xml:space="preserve">480,158.00 </w:t>
            </w:r>
          </w:p>
        </w:tc>
      </w:tr>
      <w:tr>
        <w:trPr>
          <w:trHeight w:val="283" w:hRule="atLeast"/>
        </w:trPr>
        <w:tc>
          <w:tcPr>
            <w:tcW w:w="123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c>
          <w:tcPr>
            <w:tcW w:w="3677"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2938"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3360"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2767"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336" w:hRule="atLeast"/>
        </w:trPr>
        <w:tc>
          <w:tcPr>
            <w:tcW w:w="1238"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b/>
                <w:color w:val="000000"/>
                <w:sz w:val="22"/>
                <w:lang w:eastAsia="en-US"/>
              </w:rPr>
            </w:pPr>
            <w:r>
              <w:rPr>
                <w:rFonts w:cs="Arial" w:ascii="Arial" w:hAnsi="Arial"/>
                <w:b/>
                <w:color w:val="000000"/>
                <w:sz w:val="22"/>
                <w:lang w:eastAsia="en-US"/>
              </w:rPr>
              <w:t>Jun-00</w:t>
            </w:r>
          </w:p>
        </w:tc>
        <w:tc>
          <w:tcPr>
            <w:tcW w:w="3677"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c>
          <w:tcPr>
            <w:tcW w:w="2938"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3360"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2767"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53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cs="Arial" w:ascii="Arial" w:hAnsi="Arial"/>
                <w:b/>
                <w:color w:val="000000"/>
                <w:sz w:val="22"/>
                <w:lang w:eastAsia="en-US"/>
              </w:rPr>
              <w:t>Unit ID</w:t>
            </w:r>
          </w:p>
        </w:tc>
        <w:tc>
          <w:tcPr>
            <w:tcW w:w="3677"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b/>
                <w:color w:val="000000"/>
                <w:sz w:val="22"/>
                <w:lang w:eastAsia="en-US"/>
              </w:rPr>
              <w:t>Heat Content of Fuel (BTU/ft</w:t>
            </w:r>
            <w:r>
              <w:rPr>
                <w:rFonts w:cs="Arial" w:ascii="Arial" w:hAnsi="Arial"/>
                <w:b/>
                <w:color w:val="000000"/>
                <w:sz w:val="22"/>
                <w:vertAlign w:val="superscript"/>
                <w:lang w:eastAsia="en-US"/>
              </w:rPr>
              <w:t>3</w:t>
            </w:r>
            <w:r>
              <w:rPr>
                <w:rFonts w:cs="Arial" w:ascii="Arial" w:hAnsi="Arial"/>
                <w:b/>
                <w:color w:val="000000"/>
                <w:sz w:val="22"/>
                <w:lang w:eastAsia="en-US"/>
              </w:rPr>
              <w:t>)</w:t>
            </w:r>
          </w:p>
        </w:tc>
        <w:tc>
          <w:tcPr>
            <w:tcW w:w="2938"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b/>
                <w:color w:val="000000"/>
                <w:sz w:val="22"/>
                <w:lang w:eastAsia="en-US"/>
              </w:rPr>
              <w:t>Fuel Usage (ft</w:t>
            </w:r>
            <w:r>
              <w:rPr>
                <w:rFonts w:cs="Arial" w:ascii="Arial" w:hAnsi="Arial"/>
                <w:b/>
                <w:color w:val="000000"/>
                <w:sz w:val="22"/>
                <w:vertAlign w:val="superscript"/>
                <w:lang w:eastAsia="en-US"/>
              </w:rPr>
              <w:t>3</w:t>
            </w:r>
            <w:r>
              <w:rPr>
                <w:rFonts w:cs="Arial" w:ascii="Arial" w:hAnsi="Arial"/>
                <w:b/>
                <w:color w:val="000000"/>
                <w:sz w:val="22"/>
                <w:lang w:eastAsia="en-US"/>
              </w:rPr>
              <w:t>/month)</w:t>
            </w:r>
          </w:p>
        </w:tc>
        <w:tc>
          <w:tcPr>
            <w:tcW w:w="3360"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b/>
                <w:color w:val="000000"/>
                <w:sz w:val="22"/>
                <w:lang w:eastAsia="en-US"/>
              </w:rPr>
              <w:t xml:space="preserve">Heat Input  (MMBTU/month) </w:t>
            </w:r>
            <w:r>
              <w:rPr>
                <w:rFonts w:cs="Arial" w:ascii="Arial" w:hAnsi="Arial"/>
                <w:color w:val="000000"/>
                <w:sz w:val="22"/>
                <w:lang w:eastAsia="en-US"/>
              </w:rPr>
              <w:t>(as calculated on site)</w:t>
            </w:r>
          </w:p>
        </w:tc>
        <w:tc>
          <w:tcPr>
            <w:tcW w:w="2767"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b/>
                <w:color w:val="000000"/>
                <w:sz w:val="22"/>
                <w:lang w:eastAsia="en-US"/>
              </w:rPr>
              <w:t xml:space="preserve">Heat Input  (MMBTU/month) </w:t>
            </w:r>
            <w:r>
              <w:rPr>
                <w:rFonts w:cs="Arial" w:ascii="Arial" w:hAnsi="Arial"/>
                <w:color w:val="000000"/>
                <w:sz w:val="22"/>
                <w:lang w:eastAsia="en-US"/>
              </w:rPr>
              <w:t>(as calculated by ANR)</w:t>
            </w:r>
          </w:p>
        </w:tc>
      </w:tr>
      <w:tr>
        <w:trPr>
          <w:trHeight w:val="28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AA-001</w:t>
            </w:r>
          </w:p>
        </w:tc>
        <w:tc>
          <w:tcPr>
            <w:tcW w:w="3677" w:type="dxa"/>
            <w:tcBorders>
              <w:top w:val="single" w:sz="6" w:space="0" w:color="000000"/>
              <w:start w:val="single" w:sz="6"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1,018.00 </w:t>
            </w:r>
          </w:p>
        </w:tc>
        <w:tc>
          <w:tcPr>
            <w:tcW w:w="2938" w:type="dxa"/>
            <w:tcBorders>
              <w:top w:val="single" w:sz="6"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34,191,160.31 </w:t>
            </w:r>
          </w:p>
        </w:tc>
        <w:tc>
          <w:tcPr>
            <w:tcW w:w="3360" w:type="dxa"/>
            <w:tcBorders>
              <w:top w:val="single" w:sz="6" w:space="0" w:color="000000"/>
              <w:start w:val="single" w:sz="2" w:space="0" w:color="000000"/>
              <w:bottom w:val="single" w:sz="2" w:space="0" w:color="000000"/>
              <w:end w:val="single" w:sz="6"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34,806.60 </w:t>
            </w:r>
          </w:p>
        </w:tc>
        <w:tc>
          <w:tcPr>
            <w:tcW w:w="2767"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8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AA-002</w:t>
            </w:r>
          </w:p>
        </w:tc>
        <w:tc>
          <w:tcPr>
            <w:tcW w:w="3677" w:type="dxa"/>
            <w:tcBorders>
              <w:top w:val="single" w:sz="2" w:space="0" w:color="000000"/>
              <w:start w:val="single" w:sz="6"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1,018.00 </w:t>
            </w:r>
          </w:p>
        </w:tc>
        <w:tc>
          <w:tcPr>
            <w:tcW w:w="2938"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57,856,112.70 </w:t>
            </w:r>
          </w:p>
        </w:tc>
        <w:tc>
          <w:tcPr>
            <w:tcW w:w="3360" w:type="dxa"/>
            <w:tcBorders>
              <w:top w:val="single" w:sz="2" w:space="0" w:color="000000"/>
              <w:start w:val="single" w:sz="2" w:space="0" w:color="000000"/>
              <w:bottom w:val="single" w:sz="2" w:space="0" w:color="000000"/>
              <w:end w:val="single" w:sz="6"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58,897.52 </w:t>
            </w:r>
          </w:p>
        </w:tc>
        <w:tc>
          <w:tcPr>
            <w:tcW w:w="2767" w:type="dxa"/>
            <w:tcBorders>
              <w:start w:val="single" w:sz="6" w:space="0" w:color="000000"/>
              <w:end w:val="single" w:sz="6" w:space="0" w:color="000000"/>
            </w:tcBorders>
            <w:shd w:fill="C0C0C0"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8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AA-003</w:t>
            </w:r>
          </w:p>
        </w:tc>
        <w:tc>
          <w:tcPr>
            <w:tcW w:w="3677" w:type="dxa"/>
            <w:tcBorders>
              <w:top w:val="single" w:sz="2" w:space="0" w:color="000000"/>
              <w:start w:val="single" w:sz="6"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1,018.00 </w:t>
            </w:r>
          </w:p>
        </w:tc>
        <w:tc>
          <w:tcPr>
            <w:tcW w:w="2938"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62,062,165.87 </w:t>
            </w:r>
          </w:p>
        </w:tc>
        <w:tc>
          <w:tcPr>
            <w:tcW w:w="3360" w:type="dxa"/>
            <w:tcBorders>
              <w:top w:val="single" w:sz="2" w:space="0" w:color="000000"/>
              <w:start w:val="single" w:sz="2" w:space="0" w:color="000000"/>
              <w:bottom w:val="single" w:sz="2" w:space="0" w:color="000000"/>
              <w:end w:val="single" w:sz="6"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63,179.28 </w:t>
            </w:r>
          </w:p>
        </w:tc>
        <w:tc>
          <w:tcPr>
            <w:tcW w:w="2767" w:type="dxa"/>
            <w:tcBorders>
              <w:start w:val="single" w:sz="6" w:space="0" w:color="000000"/>
              <w:end w:val="single" w:sz="6" w:space="0" w:color="000000"/>
            </w:tcBorders>
            <w:shd w:fill="C0C0C0"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8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AA-004</w:t>
            </w:r>
          </w:p>
        </w:tc>
        <w:tc>
          <w:tcPr>
            <w:tcW w:w="3677" w:type="dxa"/>
            <w:tcBorders>
              <w:top w:val="single" w:sz="2" w:space="0" w:color="000000"/>
              <w:start w:val="single" w:sz="6"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1,018.00 </w:t>
            </w:r>
          </w:p>
        </w:tc>
        <w:tc>
          <w:tcPr>
            <w:tcW w:w="2938"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82,128,181.74 </w:t>
            </w:r>
          </w:p>
        </w:tc>
        <w:tc>
          <w:tcPr>
            <w:tcW w:w="3360" w:type="dxa"/>
            <w:tcBorders>
              <w:top w:val="single" w:sz="2" w:space="0" w:color="000000"/>
              <w:start w:val="single" w:sz="2" w:space="0" w:color="000000"/>
              <w:bottom w:val="single" w:sz="2" w:space="0" w:color="000000"/>
              <w:end w:val="single" w:sz="6"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83,606.49 </w:t>
            </w:r>
          </w:p>
        </w:tc>
        <w:tc>
          <w:tcPr>
            <w:tcW w:w="2767" w:type="dxa"/>
            <w:tcBorders>
              <w:start w:val="single" w:sz="6" w:space="0" w:color="000000"/>
              <w:end w:val="single" w:sz="6" w:space="0" w:color="000000"/>
            </w:tcBorders>
            <w:shd w:fill="C0C0C0"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8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AA-005</w:t>
            </w:r>
          </w:p>
        </w:tc>
        <w:tc>
          <w:tcPr>
            <w:tcW w:w="3677" w:type="dxa"/>
            <w:tcBorders>
              <w:top w:val="single" w:sz="2" w:space="0" w:color="000000"/>
              <w:start w:val="single" w:sz="6" w:space="0" w:color="000000"/>
              <w:bottom w:val="single" w:sz="6"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1,018.00 </w:t>
            </w:r>
          </w:p>
        </w:tc>
        <w:tc>
          <w:tcPr>
            <w:tcW w:w="2938"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56,905.36 </w:t>
            </w:r>
          </w:p>
        </w:tc>
        <w:tc>
          <w:tcPr>
            <w:tcW w:w="3360" w:type="dxa"/>
            <w:tcBorders>
              <w:top w:val="single" w:sz="2" w:space="0" w:color="000000"/>
              <w:start w:val="single" w:sz="2"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eastAsia="Arial" w:cs="Arial" w:ascii="Arial" w:hAnsi="Arial"/>
                <w:color w:val="000000"/>
                <w:sz w:val="22"/>
                <w:lang w:eastAsia="en-US"/>
              </w:rPr>
              <w:t xml:space="preserve">                                          </w:t>
            </w:r>
            <w:r>
              <w:rPr>
                <w:rFonts w:cs="Arial" w:ascii="Arial" w:hAnsi="Arial"/>
                <w:color w:val="000000"/>
                <w:sz w:val="22"/>
                <w:lang w:eastAsia="en-US"/>
              </w:rPr>
              <w:t xml:space="preserve">57.93 </w:t>
            </w:r>
          </w:p>
        </w:tc>
        <w:tc>
          <w:tcPr>
            <w:tcW w:w="2767" w:type="dxa"/>
            <w:tcBorders>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93" w:hRule="atLeast"/>
        </w:trPr>
        <w:tc>
          <w:tcPr>
            <w:tcW w:w="1238" w:type="dxa"/>
            <w:tcBorders>
              <w:top w:val="single" w:sz="6" w:space="0" w:color="000000"/>
              <w:start w:val="single" w:sz="2" w:space="0" w:color="000000"/>
              <w:bottom w:val="single" w:sz="2" w:space="0" w:color="000000"/>
              <w:end w:val="single" w:sz="6"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c>
          <w:tcPr>
            <w:tcW w:w="3677" w:type="dxa"/>
            <w:tcBorders>
              <w:top w:val="single" w:sz="6" w:space="0" w:color="000000"/>
              <w:start w:val="single" w:sz="6" w:space="0" w:color="000000"/>
              <w:bottom w:val="single" w:sz="6" w:space="0" w:color="000000"/>
              <w:end w:val="single" w:sz="6" w:space="0" w:color="000000"/>
            </w:tcBorders>
            <w:shd w:fill="FFFFFF" w:val="clear"/>
          </w:tcPr>
          <w:p>
            <w:pPr>
              <w:pStyle w:val="Normal"/>
              <w:jc w:val="end"/>
              <w:rPr>
                <w:rFonts w:ascii="Arial" w:hAnsi="Arial" w:cs="Arial"/>
                <w:b/>
                <w:color w:val="000000"/>
                <w:sz w:val="22"/>
                <w:lang w:eastAsia="en-US"/>
              </w:rPr>
            </w:pPr>
            <w:r>
              <w:rPr>
                <w:rFonts w:cs="Arial" w:ascii="Arial" w:hAnsi="Arial"/>
                <w:b/>
                <w:color w:val="000000"/>
                <w:sz w:val="22"/>
                <w:lang w:eastAsia="en-US"/>
              </w:rPr>
              <w:t>PLANT MONTHLY TOTALS</w:t>
            </w:r>
          </w:p>
        </w:tc>
        <w:tc>
          <w:tcPr>
            <w:tcW w:w="29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eastAsia="Arial" w:cs="Arial" w:ascii="Arial" w:hAnsi="Arial"/>
                <w:b/>
                <w:color w:val="000000"/>
                <w:sz w:val="22"/>
                <w:lang w:eastAsia="en-US"/>
              </w:rPr>
              <w:t xml:space="preserve">                  </w:t>
            </w:r>
            <w:r>
              <w:rPr>
                <w:rFonts w:cs="Arial" w:ascii="Arial" w:hAnsi="Arial"/>
                <w:b/>
                <w:color w:val="000000"/>
                <w:sz w:val="22"/>
                <w:lang w:eastAsia="en-US"/>
              </w:rPr>
              <w:t xml:space="preserve">236,294,525.98 </w:t>
            </w:r>
          </w:p>
        </w:tc>
        <w:tc>
          <w:tcPr>
            <w:tcW w:w="33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eastAsia="Arial" w:cs="Arial" w:ascii="Arial" w:hAnsi="Arial"/>
                <w:b/>
                <w:color w:val="000000"/>
                <w:sz w:val="22"/>
                <w:lang w:eastAsia="en-US"/>
              </w:rPr>
              <w:t xml:space="preserve">                                </w:t>
            </w:r>
            <w:r>
              <w:rPr>
                <w:rFonts w:cs="Arial" w:ascii="Arial" w:hAnsi="Arial"/>
                <w:b/>
                <w:color w:val="000000"/>
                <w:sz w:val="22"/>
                <w:lang w:eastAsia="en-US"/>
              </w:rPr>
              <w:t xml:space="preserve">240,547.83 </w:t>
            </w:r>
          </w:p>
        </w:tc>
        <w:tc>
          <w:tcPr>
            <w:tcW w:w="276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eastAsia="Arial" w:cs="Arial" w:ascii="Arial" w:hAnsi="Arial"/>
                <w:b/>
                <w:color w:val="000000"/>
                <w:sz w:val="22"/>
                <w:lang w:eastAsia="en-US"/>
              </w:rPr>
              <w:t xml:space="preserve">                                </w:t>
            </w:r>
            <w:r>
              <w:rPr>
                <w:rFonts w:cs="Arial" w:ascii="Arial" w:hAnsi="Arial"/>
                <w:b/>
                <w:color w:val="000000"/>
                <w:sz w:val="22"/>
                <w:lang w:eastAsia="en-US"/>
              </w:rPr>
              <w:t xml:space="preserve">238,513.00 </w:t>
            </w:r>
          </w:p>
        </w:tc>
      </w:tr>
      <w:tr>
        <w:trPr>
          <w:trHeight w:val="283" w:hRule="atLeast"/>
        </w:trPr>
        <w:tc>
          <w:tcPr>
            <w:tcW w:w="123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c>
          <w:tcPr>
            <w:tcW w:w="3677"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2938"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3360"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2767"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bl>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tbl>
      <w:tblPr>
        <w:tblW w:w="13890" w:type="dxa"/>
        <w:jc w:val="start"/>
        <w:tblInd w:w="0" w:type="dxa"/>
        <w:tblLayout w:type="fixed"/>
        <w:tblCellMar>
          <w:top w:w="0" w:type="dxa"/>
          <w:start w:w="30" w:type="dxa"/>
          <w:bottom w:w="0" w:type="dxa"/>
          <w:end w:w="30" w:type="dxa"/>
        </w:tblCellMar>
      </w:tblPr>
      <w:tblGrid>
        <w:gridCol w:w="1238"/>
        <w:gridCol w:w="3677"/>
        <w:gridCol w:w="2938"/>
        <w:gridCol w:w="3360"/>
        <w:gridCol w:w="2677"/>
      </w:tblGrid>
      <w:tr>
        <w:trPr>
          <w:trHeight w:val="293" w:hRule="atLeast"/>
        </w:trPr>
        <w:tc>
          <w:tcPr>
            <w:tcW w:w="1238"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c>
          <w:tcPr>
            <w:tcW w:w="3677" w:type="dxa"/>
            <w:tcBorders>
              <w:top w:val="single" w:sz="2" w:space="0" w:color="000000"/>
              <w:start w:val="single" w:sz="2" w:space="0" w:color="000000"/>
              <w:bottom w:val="single" w:sz="6" w:space="0" w:color="000000"/>
              <w:end w:val="single" w:sz="2" w:space="0" w:color="000000"/>
            </w:tcBorders>
            <w:shd w:fill="FFFFFF" w:val="clear"/>
          </w:tcPr>
          <w:p>
            <w:pPr>
              <w:pStyle w:val="Normal"/>
              <w:snapToGrid w:val="false"/>
              <w:jc w:val="end"/>
              <w:rPr>
                <w:rFonts w:ascii="Arial" w:hAnsi="Arial" w:cs="Arial"/>
                <w:b/>
                <w:color w:val="000000"/>
                <w:sz w:val="22"/>
                <w:lang w:eastAsia="en-US"/>
              </w:rPr>
            </w:pPr>
            <w:r>
              <w:rPr>
                <w:rFonts w:cs="Arial" w:ascii="Arial" w:hAnsi="Arial"/>
                <w:b/>
                <w:color w:val="000000"/>
                <w:sz w:val="22"/>
                <w:lang w:eastAsia="en-US"/>
              </w:rPr>
            </w:r>
          </w:p>
        </w:tc>
        <w:tc>
          <w:tcPr>
            <w:tcW w:w="2938"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c>
          <w:tcPr>
            <w:tcW w:w="3360"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c>
          <w:tcPr>
            <w:tcW w:w="2677"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r>
      <w:tr>
        <w:trPr>
          <w:trHeight w:val="830" w:hRule="atLeast"/>
        </w:trPr>
        <w:tc>
          <w:tcPr>
            <w:tcW w:w="4915" w:type="dxa"/>
            <w:gridSpan w:val="2"/>
            <w:tcBorders>
              <w:top w:val="single" w:sz="6" w:space="0" w:color="000000"/>
              <w:start w:val="single" w:sz="6" w:space="0" w:color="000000"/>
              <w:bottom w:val="single" w:sz="6" w:space="0" w:color="000000"/>
            </w:tcBorders>
          </w:tcPr>
          <w:p>
            <w:pPr>
              <w:pStyle w:val="Normal"/>
              <w:jc w:val="center"/>
              <w:rPr>
                <w:rFonts w:ascii="Arial" w:hAnsi="Arial" w:cs="Arial"/>
                <w:b/>
                <w:color w:val="000000"/>
                <w:sz w:val="22"/>
                <w:lang w:eastAsia="en-US"/>
              </w:rPr>
            </w:pPr>
            <w:r>
              <w:rPr>
                <w:rFonts w:cs="Arial" w:ascii="Arial" w:hAnsi="Arial"/>
                <w:b/>
                <w:color w:val="000000"/>
                <w:sz w:val="22"/>
                <w:lang w:eastAsia="en-US"/>
              </w:rPr>
              <w:t>UNIT YTD TOTALS</w:t>
            </w:r>
          </w:p>
        </w:tc>
        <w:tc>
          <w:tcPr>
            <w:tcW w:w="0" w:type="dxa"/>
            <w:vMerge w:val="continue"/>
            <w:tcBorders>
              <w:top w:val="single" w:sz="6" w:space="0" w:color="000000"/>
              <w:bottom w:val="single" w:sz="6" w:space="0" w:color="000000"/>
              <w:end w:val="single" w:sz="6"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c>
          <w:tcPr>
            <w:tcW w:w="2938"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b/>
                <w:color w:val="000000"/>
                <w:sz w:val="22"/>
                <w:lang w:eastAsia="en-US"/>
              </w:rPr>
              <w:t>Total Fuel Usage By UNIT YTD (ft</w:t>
            </w:r>
            <w:r>
              <w:rPr>
                <w:rFonts w:cs="Arial" w:ascii="Arial" w:hAnsi="Arial"/>
                <w:b/>
                <w:color w:val="000000"/>
                <w:sz w:val="22"/>
                <w:vertAlign w:val="superscript"/>
                <w:lang w:eastAsia="en-US"/>
              </w:rPr>
              <w:t>3</w:t>
            </w:r>
            <w:r>
              <w:rPr>
                <w:rFonts w:cs="Arial" w:ascii="Arial" w:hAnsi="Arial"/>
                <w:b/>
                <w:color w:val="000000"/>
                <w:sz w:val="22"/>
                <w:lang w:eastAsia="en-US"/>
              </w:rPr>
              <w:t>)</w:t>
            </w:r>
          </w:p>
        </w:tc>
        <w:tc>
          <w:tcPr>
            <w:tcW w:w="6037"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b/>
                <w:color w:val="000000"/>
                <w:sz w:val="22"/>
                <w:lang w:eastAsia="en-US"/>
              </w:rPr>
              <w:t xml:space="preserve">Total Heat Input by Unit YTD (MMBTU)                                 </w:t>
            </w:r>
            <w:r>
              <w:rPr>
                <w:rFonts w:cs="Arial" w:ascii="Arial" w:hAnsi="Arial"/>
                <w:color w:val="000000"/>
                <w:sz w:val="22"/>
                <w:lang w:eastAsia="en-US"/>
              </w:rPr>
              <w:t>(As calculated on Site)</w:t>
            </w:r>
          </w:p>
        </w:tc>
        <w:tc>
          <w:tcPr>
            <w:tcW w:w="0" w:type="dxa"/>
            <w:vMerge w:val="continue"/>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r>
      <w:tr>
        <w:trPr>
          <w:trHeight w:val="29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AA-001</w:t>
            </w:r>
          </w:p>
        </w:tc>
        <w:tc>
          <w:tcPr>
            <w:tcW w:w="3677" w:type="dxa"/>
            <w:tcBorders>
              <w:top w:val="single" w:sz="6" w:space="0" w:color="000000"/>
              <w:start w:val="single" w:sz="6" w:space="0" w:color="000000"/>
              <w:bottom w:val="single" w:sz="2" w:space="0" w:color="000000"/>
              <w:end w:val="single" w:sz="6" w:space="0" w:color="000000"/>
            </w:tcBorders>
            <w:shd w:fill="C0C0C0" w:val="clear"/>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29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eastAsia="Arial" w:cs="Arial" w:ascii="Arial" w:hAnsi="Arial"/>
                <w:b/>
                <w:color w:val="000000"/>
                <w:sz w:val="22"/>
                <w:lang w:eastAsia="en-US"/>
              </w:rPr>
              <w:t xml:space="preserve">                  </w:t>
            </w:r>
            <w:r>
              <w:rPr>
                <w:rFonts w:cs="Arial" w:ascii="Arial" w:hAnsi="Arial"/>
                <w:b/>
                <w:color w:val="000000"/>
                <w:sz w:val="22"/>
                <w:lang w:eastAsia="en-US"/>
              </w:rPr>
              <w:t xml:space="preserve">202,487,438.05 </w:t>
            </w:r>
          </w:p>
        </w:tc>
        <w:tc>
          <w:tcPr>
            <w:tcW w:w="33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eastAsia="Arial" w:cs="Arial" w:ascii="Arial" w:hAnsi="Arial"/>
                <w:b/>
                <w:color w:val="000000"/>
                <w:sz w:val="22"/>
                <w:lang w:eastAsia="en-US"/>
              </w:rPr>
              <w:t xml:space="preserve">                                </w:t>
            </w:r>
            <w:r>
              <w:rPr>
                <w:rFonts w:cs="Arial" w:ascii="Arial" w:hAnsi="Arial"/>
                <w:b/>
                <w:color w:val="000000"/>
                <w:sz w:val="22"/>
                <w:lang w:eastAsia="en-US"/>
              </w:rPr>
              <w:t xml:space="preserve">209,178.81 </w:t>
            </w:r>
          </w:p>
        </w:tc>
        <w:tc>
          <w:tcPr>
            <w:tcW w:w="2677" w:type="dxa"/>
            <w:tcBorders>
              <w:start w:val="single" w:sz="6" w:space="0" w:color="000000"/>
              <w:end w:val="single" w:sz="6" w:space="0" w:color="000000"/>
            </w:tcBorders>
            <w:shd w:fill="C0C0C0" w:val="clear"/>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r>
      <w:tr>
        <w:trPr>
          <w:trHeight w:val="29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AA-002</w:t>
            </w:r>
          </w:p>
        </w:tc>
        <w:tc>
          <w:tcPr>
            <w:tcW w:w="3677" w:type="dxa"/>
            <w:tcBorders>
              <w:top w:val="single" w:sz="2" w:space="0" w:color="000000"/>
              <w:start w:val="single" w:sz="6" w:space="0" w:color="000000"/>
              <w:bottom w:val="single" w:sz="2" w:space="0" w:color="000000"/>
              <w:end w:val="single" w:sz="6" w:space="0" w:color="000000"/>
            </w:tcBorders>
            <w:shd w:fill="C0C0C0" w:val="clear"/>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29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eastAsia="Arial" w:cs="Arial" w:ascii="Arial" w:hAnsi="Arial"/>
                <w:b/>
                <w:color w:val="000000"/>
                <w:sz w:val="22"/>
                <w:lang w:eastAsia="en-US"/>
              </w:rPr>
              <w:t xml:space="preserve">                  </w:t>
            </w:r>
            <w:r>
              <w:rPr>
                <w:rFonts w:cs="Arial" w:ascii="Arial" w:hAnsi="Arial"/>
                <w:b/>
                <w:color w:val="000000"/>
                <w:sz w:val="22"/>
                <w:lang w:eastAsia="en-US"/>
              </w:rPr>
              <w:t xml:space="preserve">266,104,329.42 </w:t>
            </w:r>
          </w:p>
        </w:tc>
        <w:tc>
          <w:tcPr>
            <w:tcW w:w="33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eastAsia="Arial" w:cs="Arial" w:ascii="Arial" w:hAnsi="Arial"/>
                <w:b/>
                <w:color w:val="000000"/>
                <w:sz w:val="22"/>
                <w:lang w:eastAsia="en-US"/>
              </w:rPr>
              <w:t xml:space="preserve">                                </w:t>
            </w:r>
            <w:r>
              <w:rPr>
                <w:rFonts w:cs="Arial" w:ascii="Arial" w:hAnsi="Arial"/>
                <w:b/>
                <w:color w:val="000000"/>
                <w:sz w:val="22"/>
                <w:lang w:eastAsia="en-US"/>
              </w:rPr>
              <w:t xml:space="preserve">274,516.23 </w:t>
            </w:r>
          </w:p>
        </w:tc>
        <w:tc>
          <w:tcPr>
            <w:tcW w:w="2677" w:type="dxa"/>
            <w:tcBorders>
              <w:start w:val="single" w:sz="6" w:space="0" w:color="000000"/>
              <w:end w:val="single" w:sz="6" w:space="0" w:color="000000"/>
            </w:tcBorders>
            <w:shd w:fill="C0C0C0" w:val="clear"/>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r>
      <w:tr>
        <w:trPr>
          <w:trHeight w:val="29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AA-003</w:t>
            </w:r>
          </w:p>
        </w:tc>
        <w:tc>
          <w:tcPr>
            <w:tcW w:w="3677" w:type="dxa"/>
            <w:tcBorders>
              <w:top w:val="single" w:sz="2" w:space="0" w:color="000000"/>
              <w:start w:val="single" w:sz="6" w:space="0" w:color="000000"/>
              <w:bottom w:val="single" w:sz="2" w:space="0" w:color="000000"/>
              <w:end w:val="single" w:sz="6" w:space="0" w:color="000000"/>
            </w:tcBorders>
            <w:shd w:fill="C0C0C0" w:val="clear"/>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29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eastAsia="Arial" w:cs="Arial" w:ascii="Arial" w:hAnsi="Arial"/>
                <w:b/>
                <w:color w:val="000000"/>
                <w:sz w:val="22"/>
                <w:lang w:eastAsia="en-US"/>
              </w:rPr>
              <w:t xml:space="preserve">                  </w:t>
            </w:r>
            <w:r>
              <w:rPr>
                <w:rFonts w:cs="Arial" w:ascii="Arial" w:hAnsi="Arial"/>
                <w:b/>
                <w:color w:val="000000"/>
                <w:sz w:val="22"/>
                <w:lang w:eastAsia="en-US"/>
              </w:rPr>
              <w:t xml:space="preserve">310,028,547.96 </w:t>
            </w:r>
          </w:p>
        </w:tc>
        <w:tc>
          <w:tcPr>
            <w:tcW w:w="33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eastAsia="Arial" w:cs="Arial" w:ascii="Arial" w:hAnsi="Arial"/>
                <w:b/>
                <w:color w:val="000000"/>
                <w:sz w:val="22"/>
                <w:lang w:eastAsia="en-US"/>
              </w:rPr>
              <w:t xml:space="preserve">                                </w:t>
            </w:r>
            <w:r>
              <w:rPr>
                <w:rFonts w:cs="Arial" w:ascii="Arial" w:hAnsi="Arial"/>
                <w:b/>
                <w:color w:val="000000"/>
                <w:sz w:val="22"/>
                <w:lang w:eastAsia="en-US"/>
              </w:rPr>
              <w:t xml:space="preserve">320,544.93 </w:t>
            </w:r>
          </w:p>
        </w:tc>
        <w:tc>
          <w:tcPr>
            <w:tcW w:w="2677" w:type="dxa"/>
            <w:tcBorders>
              <w:start w:val="single" w:sz="6" w:space="0" w:color="000000"/>
              <w:end w:val="single" w:sz="6" w:space="0" w:color="000000"/>
            </w:tcBorders>
            <w:shd w:fill="C0C0C0" w:val="clear"/>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r>
      <w:tr>
        <w:trPr>
          <w:trHeight w:val="29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AA-004</w:t>
            </w:r>
          </w:p>
        </w:tc>
        <w:tc>
          <w:tcPr>
            <w:tcW w:w="3677" w:type="dxa"/>
            <w:tcBorders>
              <w:top w:val="single" w:sz="2" w:space="0" w:color="000000"/>
              <w:start w:val="single" w:sz="6" w:space="0" w:color="000000"/>
              <w:bottom w:val="single" w:sz="2" w:space="0" w:color="000000"/>
              <w:end w:val="single" w:sz="6" w:space="0" w:color="000000"/>
            </w:tcBorders>
            <w:shd w:fill="C0C0C0" w:val="clear"/>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29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eastAsia="Arial" w:cs="Arial" w:ascii="Arial" w:hAnsi="Arial"/>
                <w:b/>
                <w:color w:val="000000"/>
                <w:sz w:val="22"/>
                <w:lang w:eastAsia="en-US"/>
              </w:rPr>
              <w:t xml:space="preserve">                  </w:t>
            </w:r>
            <w:r>
              <w:rPr>
                <w:rFonts w:cs="Arial" w:ascii="Arial" w:hAnsi="Arial"/>
                <w:b/>
                <w:color w:val="000000"/>
                <w:sz w:val="22"/>
                <w:lang w:eastAsia="en-US"/>
              </w:rPr>
              <w:t xml:space="preserve">328,223,101.45 </w:t>
            </w:r>
          </w:p>
        </w:tc>
        <w:tc>
          <w:tcPr>
            <w:tcW w:w="33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eastAsia="Arial" w:cs="Arial" w:ascii="Arial" w:hAnsi="Arial"/>
                <w:b/>
                <w:color w:val="000000"/>
                <w:sz w:val="22"/>
                <w:lang w:eastAsia="en-US"/>
              </w:rPr>
              <w:t xml:space="preserve">                                </w:t>
            </w:r>
            <w:r>
              <w:rPr>
                <w:rFonts w:cs="Arial" w:ascii="Arial" w:hAnsi="Arial"/>
                <w:b/>
                <w:color w:val="000000"/>
                <w:sz w:val="22"/>
                <w:lang w:eastAsia="en-US"/>
              </w:rPr>
              <w:t xml:space="preserve">338,819.73 </w:t>
            </w:r>
          </w:p>
        </w:tc>
        <w:tc>
          <w:tcPr>
            <w:tcW w:w="2677" w:type="dxa"/>
            <w:tcBorders>
              <w:start w:val="single" w:sz="6" w:space="0" w:color="000000"/>
              <w:end w:val="single" w:sz="6" w:space="0" w:color="000000"/>
            </w:tcBorders>
            <w:shd w:fill="C0C0C0" w:val="clear"/>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r>
      <w:tr>
        <w:trPr>
          <w:trHeight w:val="293" w:hRule="atLeast"/>
        </w:trPr>
        <w:tc>
          <w:tcPr>
            <w:tcW w:w="12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AA-005</w:t>
            </w:r>
          </w:p>
        </w:tc>
        <w:tc>
          <w:tcPr>
            <w:tcW w:w="3677" w:type="dxa"/>
            <w:tcBorders>
              <w:top w:val="single" w:sz="2" w:space="0" w:color="000000"/>
              <w:start w:val="single" w:sz="6" w:space="0" w:color="000000"/>
              <w:bottom w:val="single" w:sz="6" w:space="0" w:color="000000"/>
              <w:end w:val="single" w:sz="6" w:space="0" w:color="000000"/>
            </w:tcBorders>
            <w:shd w:fill="C0C0C0" w:val="clear"/>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29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eastAsia="Arial" w:cs="Arial" w:ascii="Arial" w:hAnsi="Arial"/>
                <w:b/>
                <w:color w:val="000000"/>
                <w:sz w:val="22"/>
                <w:lang w:eastAsia="en-US"/>
              </w:rPr>
              <w:t xml:space="preserve">                         </w:t>
            </w:r>
            <w:r>
              <w:rPr>
                <w:rFonts w:cs="Arial" w:ascii="Arial" w:hAnsi="Arial"/>
                <w:b/>
                <w:color w:val="000000"/>
                <w:sz w:val="22"/>
                <w:lang w:eastAsia="en-US"/>
              </w:rPr>
              <w:t xml:space="preserve">139,733.04 </w:t>
            </w:r>
          </w:p>
        </w:tc>
        <w:tc>
          <w:tcPr>
            <w:tcW w:w="33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2"/>
                <w:lang w:eastAsia="en-US"/>
              </w:rPr>
            </w:pPr>
            <w:r>
              <w:rPr>
                <w:rFonts w:eastAsia="Arial" w:cs="Arial" w:ascii="Arial" w:hAnsi="Arial"/>
                <w:b/>
                <w:color w:val="000000"/>
                <w:sz w:val="22"/>
                <w:lang w:eastAsia="en-US"/>
              </w:rPr>
              <w:t xml:space="preserve">                                        </w:t>
            </w:r>
            <w:r>
              <w:rPr>
                <w:rFonts w:cs="Arial" w:ascii="Arial" w:hAnsi="Arial"/>
                <w:b/>
                <w:color w:val="000000"/>
                <w:sz w:val="22"/>
                <w:lang w:eastAsia="en-US"/>
              </w:rPr>
              <w:t xml:space="preserve">142.16 </w:t>
            </w:r>
          </w:p>
        </w:tc>
        <w:tc>
          <w:tcPr>
            <w:tcW w:w="2677" w:type="dxa"/>
            <w:tcBorders>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r>
      <w:tr>
        <w:trPr>
          <w:trHeight w:val="283" w:hRule="atLeast"/>
        </w:trPr>
        <w:tc>
          <w:tcPr>
            <w:tcW w:w="1238"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3677" w:type="dxa"/>
            <w:tcBorders>
              <w:top w:val="single" w:sz="6" w:space="0" w:color="000000"/>
              <w:start w:val="single" w:sz="2" w:space="0" w:color="000000"/>
              <w:bottom w:val="single" w:sz="2" w:space="0" w:color="000000"/>
              <w:end w:val="single" w:sz="2" w:space="0" w:color="000000"/>
            </w:tcBorders>
            <w:shd w:fill="FFFFFF" w:val="clear"/>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2938"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3360"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2677" w:type="dxa"/>
            <w:tcBorders>
              <w:top w:val="single" w:sz="6"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83" w:hRule="atLeast"/>
        </w:trPr>
        <w:tc>
          <w:tcPr>
            <w:tcW w:w="123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3677" w:type="dxa"/>
            <w:tcBorders>
              <w:top w:val="single" w:sz="2" w:space="0" w:color="000000"/>
              <w:start w:val="single" w:sz="2" w:space="0" w:color="000000"/>
              <w:bottom w:val="single" w:sz="2" w:space="0" w:color="000000"/>
              <w:end w:val="single" w:sz="2" w:space="0" w:color="000000"/>
            </w:tcBorders>
            <w:shd w:fill="FFFFFF" w:val="clear"/>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293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336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267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83" w:hRule="atLeast"/>
        </w:trPr>
        <w:tc>
          <w:tcPr>
            <w:tcW w:w="123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3677" w:type="dxa"/>
            <w:tcBorders>
              <w:top w:val="single" w:sz="2" w:space="0" w:color="000000"/>
              <w:start w:val="single" w:sz="2" w:space="0" w:color="000000"/>
              <w:bottom w:val="single" w:sz="2" w:space="0" w:color="000000"/>
              <w:end w:val="single" w:sz="2" w:space="0" w:color="000000"/>
            </w:tcBorders>
            <w:shd w:fill="FFFFFF" w:val="clear"/>
          </w:tcPr>
          <w:p>
            <w:pPr>
              <w:pStyle w:val="Normal"/>
              <w:snapToGrid w:val="false"/>
              <w:jc w:val="end"/>
              <w:rPr>
                <w:rFonts w:ascii="Arial" w:hAnsi="Arial" w:cs="Arial"/>
                <w:color w:val="000000"/>
                <w:sz w:val="22"/>
                <w:lang w:eastAsia="en-US"/>
              </w:rPr>
            </w:pPr>
            <w:r>
              <w:rPr>
                <w:rFonts w:cs="Arial" w:ascii="Arial" w:hAnsi="Arial"/>
                <w:color w:val="000000"/>
                <w:sz w:val="22"/>
                <w:lang w:eastAsia="en-US"/>
              </w:rPr>
            </w:r>
          </w:p>
        </w:tc>
        <w:tc>
          <w:tcPr>
            <w:tcW w:w="2938"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Total Plant Fuel Usage</w:t>
            </w:r>
          </w:p>
        </w:tc>
        <w:tc>
          <w:tcPr>
            <w:tcW w:w="33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Total YTD Heat Input (MMBTU)</w:t>
            </w:r>
          </w:p>
        </w:tc>
        <w:tc>
          <w:tcPr>
            <w:tcW w:w="2677"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Total YTD Heat Input (MMBTU)</w:t>
            </w:r>
          </w:p>
        </w:tc>
      </w:tr>
      <w:tr>
        <w:trPr>
          <w:trHeight w:val="293" w:hRule="atLeast"/>
        </w:trPr>
        <w:tc>
          <w:tcPr>
            <w:tcW w:w="123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3677" w:type="dxa"/>
            <w:tcBorders>
              <w:top w:val="single" w:sz="2" w:space="0" w:color="000000"/>
              <w:start w:val="single" w:sz="2" w:space="0" w:color="000000"/>
              <w:bottom w:val="single" w:sz="1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2938" w:type="dxa"/>
            <w:tcBorders>
              <w:top w:val="single" w:sz="2" w:space="0" w:color="000000"/>
              <w:start w:val="single" w:sz="2" w:space="0" w:color="000000"/>
              <w:bottom w:val="single" w:sz="12" w:space="0" w:color="000000"/>
              <w:end w:val="single" w:sz="2"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YTD</w:t>
            </w:r>
          </w:p>
        </w:tc>
        <w:tc>
          <w:tcPr>
            <w:tcW w:w="3360" w:type="dxa"/>
            <w:tcBorders>
              <w:top w:val="single" w:sz="2" w:space="0" w:color="000000"/>
              <w:start w:val="single" w:sz="2" w:space="0" w:color="000000"/>
              <w:bottom w:val="single" w:sz="12" w:space="0" w:color="000000"/>
              <w:end w:val="single" w:sz="2"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(As calculated on Site)</w:t>
            </w:r>
          </w:p>
        </w:tc>
        <w:tc>
          <w:tcPr>
            <w:tcW w:w="2677" w:type="dxa"/>
            <w:tcBorders>
              <w:top w:val="single" w:sz="2" w:space="0" w:color="000000"/>
              <w:start w:val="single" w:sz="2" w:space="0" w:color="000000"/>
              <w:bottom w:val="single" w:sz="12" w:space="0" w:color="000000"/>
              <w:end w:val="single" w:sz="2" w:space="0" w:color="000000"/>
            </w:tcBorders>
          </w:tcPr>
          <w:p>
            <w:pPr>
              <w:pStyle w:val="Normal"/>
              <w:jc w:val="center"/>
              <w:rPr>
                <w:rFonts w:ascii="Arial" w:hAnsi="Arial" w:cs="Arial"/>
                <w:color w:val="000000"/>
                <w:sz w:val="22"/>
                <w:lang w:eastAsia="en-US"/>
              </w:rPr>
            </w:pPr>
            <w:r>
              <w:rPr>
                <w:rFonts w:cs="Arial" w:ascii="Arial" w:hAnsi="Arial"/>
                <w:color w:val="000000"/>
                <w:sz w:val="22"/>
                <w:lang w:eastAsia="en-US"/>
              </w:rPr>
              <w:t>As Calculaated by ANR</w:t>
            </w:r>
          </w:p>
        </w:tc>
      </w:tr>
      <w:tr>
        <w:trPr>
          <w:trHeight w:val="350" w:hRule="atLeast"/>
        </w:trPr>
        <w:tc>
          <w:tcPr>
            <w:tcW w:w="1238" w:type="dxa"/>
            <w:tcBorders>
              <w:top w:val="single" w:sz="2" w:space="0" w:color="000000"/>
              <w:start w:val="single" w:sz="2" w:space="0" w:color="000000"/>
              <w:bottom w:val="single" w:sz="2" w:space="0" w:color="000000"/>
              <w:end w:val="single" w:sz="1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3677"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b/>
                <w:color w:val="000000"/>
                <w:sz w:val="22"/>
                <w:lang w:eastAsia="en-US"/>
              </w:rPr>
            </w:pPr>
            <w:r>
              <w:rPr>
                <w:rFonts w:cs="Arial" w:ascii="Arial" w:hAnsi="Arial"/>
                <w:b/>
                <w:color w:val="000000"/>
                <w:sz w:val="22"/>
                <w:lang w:eastAsia="en-US"/>
              </w:rPr>
              <w:t>PLANT YTD TOTALS</w:t>
            </w:r>
          </w:p>
        </w:tc>
        <w:tc>
          <w:tcPr>
            <w:tcW w:w="2938"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b/>
                <w:color w:val="000000"/>
                <w:sz w:val="22"/>
                <w:lang w:eastAsia="en-US"/>
              </w:rPr>
            </w:pPr>
            <w:r>
              <w:rPr>
                <w:rFonts w:eastAsia="Arial" w:cs="Arial" w:ascii="Arial" w:hAnsi="Arial"/>
                <w:b/>
                <w:color w:val="000000"/>
                <w:sz w:val="22"/>
                <w:lang w:eastAsia="en-US"/>
              </w:rPr>
              <w:t xml:space="preserve">      </w:t>
            </w:r>
            <w:r>
              <w:rPr>
                <w:rFonts w:cs="Arial" w:ascii="Arial" w:hAnsi="Arial"/>
                <w:b/>
                <w:color w:val="000000"/>
                <w:sz w:val="22"/>
                <w:lang w:eastAsia="en-US"/>
              </w:rPr>
              <w:t xml:space="preserve">1,106,983,149.92 </w:t>
            </w:r>
          </w:p>
        </w:tc>
        <w:tc>
          <w:tcPr>
            <w:tcW w:w="336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b/>
                <w:color w:val="000000"/>
                <w:sz w:val="22"/>
                <w:lang w:eastAsia="en-US"/>
              </w:rPr>
            </w:pPr>
            <w:r>
              <w:rPr>
                <w:rFonts w:eastAsia="Arial" w:cs="Arial" w:ascii="Arial" w:hAnsi="Arial"/>
                <w:b/>
                <w:color w:val="000000"/>
                <w:sz w:val="22"/>
                <w:lang w:eastAsia="en-US"/>
              </w:rPr>
              <w:t xml:space="preserve">                   </w:t>
            </w:r>
            <w:r>
              <w:rPr>
                <w:rFonts w:cs="Arial" w:ascii="Arial" w:hAnsi="Arial"/>
                <w:b/>
                <w:color w:val="000000"/>
                <w:sz w:val="22"/>
                <w:lang w:eastAsia="en-US"/>
              </w:rPr>
              <w:t xml:space="preserve">1,141,299.63 </w:t>
            </w:r>
          </w:p>
        </w:tc>
        <w:tc>
          <w:tcPr>
            <w:tcW w:w="2677"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b/>
                <w:color w:val="000000"/>
                <w:sz w:val="22"/>
                <w:lang w:eastAsia="en-US"/>
              </w:rPr>
            </w:pPr>
            <w:r>
              <w:rPr>
                <w:rFonts w:eastAsia="Arial" w:cs="Arial" w:ascii="Arial" w:hAnsi="Arial"/>
                <w:b/>
                <w:color w:val="000000"/>
                <w:sz w:val="22"/>
                <w:lang w:eastAsia="en-US"/>
              </w:rPr>
              <w:t xml:space="preserve">                   </w:t>
            </w:r>
            <w:r>
              <w:rPr>
                <w:rFonts w:cs="Arial" w:ascii="Arial" w:hAnsi="Arial"/>
                <w:b/>
                <w:color w:val="000000"/>
                <w:sz w:val="22"/>
                <w:lang w:eastAsia="en-US"/>
              </w:rPr>
              <w:t xml:space="preserve">1,136,539.00 </w:t>
            </w:r>
          </w:p>
        </w:tc>
      </w:tr>
      <w:tr>
        <w:trPr>
          <w:trHeight w:val="283" w:hRule="atLeast"/>
        </w:trPr>
        <w:tc>
          <w:tcPr>
            <w:tcW w:w="123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b/>
                <w:color w:val="000000"/>
                <w:sz w:val="22"/>
                <w:lang w:eastAsia="en-US"/>
              </w:rPr>
            </w:pPr>
            <w:r>
              <w:rPr>
                <w:rFonts w:cs="Arial" w:ascii="Arial" w:hAnsi="Arial"/>
                <w:b/>
                <w:color w:val="000000"/>
                <w:sz w:val="22"/>
                <w:lang w:eastAsia="en-US"/>
              </w:rPr>
            </w:r>
          </w:p>
        </w:tc>
        <w:tc>
          <w:tcPr>
            <w:tcW w:w="3677" w:type="dxa"/>
            <w:tcBorders>
              <w:top w:val="single" w:sz="1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2938" w:type="dxa"/>
            <w:tcBorders>
              <w:top w:val="single" w:sz="1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3360" w:type="dxa"/>
            <w:tcBorders>
              <w:top w:val="single" w:sz="1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2677" w:type="dxa"/>
            <w:tcBorders>
              <w:top w:val="single" w:sz="1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r>
        <w:trPr>
          <w:trHeight w:val="283" w:hRule="atLeast"/>
        </w:trPr>
        <w:tc>
          <w:tcPr>
            <w:tcW w:w="123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367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293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336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c>
          <w:tcPr>
            <w:tcW w:w="267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22"/>
                <w:lang w:eastAsia="en-US"/>
              </w:rPr>
            </w:pPr>
            <w:r>
              <w:rPr>
                <w:rFonts w:cs="Arial" w:ascii="Arial" w:hAnsi="Arial"/>
                <w:color w:val="000000"/>
                <w:sz w:val="22"/>
                <w:lang w:eastAsia="en-US"/>
              </w:rPr>
            </w:r>
          </w:p>
        </w:tc>
      </w:tr>
    </w:tbl>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sectPr>
      <w:footerReference w:type="default" r:id="rId4"/>
      <w:footerReference w:type="first" r:id="rId5"/>
      <w:type w:val="nextPage"/>
      <w:pgSz w:orient="landscape" w:w="15840" w:h="12240"/>
      <w:pgMar w:left="1440" w:right="1440" w:gutter="0" w:header="0" w:top="180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5">
              <wp:simplePos x="0" y="0"/>
              <wp:positionH relativeFrom="margin">
                <wp:align>right</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2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1276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637.95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56"/>
    </w:rPr>
  </w:style>
  <w:style w:type="paragraph" w:styleId="Heading2">
    <w:name w:val="heading 2"/>
    <w:basedOn w:val="Normal"/>
    <w:next w:val="Normal"/>
    <w:qFormat/>
    <w:pPr>
      <w:keepNext w:val="true"/>
      <w:numPr>
        <w:ilvl w:val="1"/>
        <w:numId w:val="1"/>
      </w:numPr>
      <w:outlineLvl w:val="1"/>
    </w:pPr>
    <w:rPr>
      <w:sz w:val="32"/>
    </w:rPr>
  </w:style>
  <w:style w:type="paragraph" w:styleId="Heading3">
    <w:name w:val="heading 3"/>
    <w:basedOn w:val="Normal"/>
    <w:next w:val="Normal"/>
    <w:qFormat/>
    <w:pPr>
      <w:keepNext w:val="true"/>
      <w:numPr>
        <w:ilvl w:val="2"/>
        <w:numId w:val="1"/>
      </w:numPr>
      <w:jc w:val="center"/>
      <w:outlineLvl w:val="2"/>
    </w:pPr>
    <w:rPr>
      <w:sz w:val="28"/>
    </w:rPr>
  </w:style>
  <w:style w:type="paragraph" w:styleId="Heading4">
    <w:name w:val="heading 4"/>
    <w:basedOn w:val="Normal"/>
    <w:next w:val="Normal"/>
    <w:qFormat/>
    <w:pPr>
      <w:keepNext w:val="true"/>
      <w:numPr>
        <w:ilvl w:val="3"/>
        <w:numId w:val="1"/>
      </w:numPr>
      <w:jc w:val="center"/>
      <w:outlineLvl w:val="3"/>
    </w:pPr>
    <w:rPr>
      <w:b/>
      <w:sz w:val="28"/>
    </w:rPr>
  </w:style>
  <w:style w:type="paragraph" w:styleId="Heading5">
    <w:name w:val="heading 5"/>
    <w:basedOn w:val="Normal"/>
    <w:next w:val="Normal"/>
    <w:qFormat/>
    <w:pPr>
      <w:keepNext w:val="true"/>
      <w:numPr>
        <w:ilvl w:val="4"/>
        <w:numId w:val="1"/>
      </w:numPr>
      <w:ind w:hanging="1440" w:start="1440" w:end="0"/>
      <w:outlineLvl w:val="4"/>
    </w:pPr>
    <w:rPr>
      <w:sz w:val="24"/>
    </w:rPr>
  </w:style>
  <w:style w:type="paragraph" w:styleId="Heading6">
    <w:name w:val="heading 6"/>
    <w:basedOn w:val="Normal"/>
    <w:next w:val="Normal"/>
    <w:qFormat/>
    <w:pPr>
      <w:keepNext w:val="true"/>
      <w:numPr>
        <w:ilvl w:val="5"/>
        <w:numId w:val="1"/>
      </w:numPr>
      <w:ind w:hanging="1440" w:start="1440" w:end="0"/>
      <w:jc w:val="center"/>
      <w:outlineLvl w:val="5"/>
    </w:pPr>
    <w:rPr>
      <w:b/>
      <w:sz w:val="28"/>
    </w:rPr>
  </w:style>
  <w:style w:type="paragraph" w:styleId="Heading7">
    <w:name w:val="heading 7"/>
    <w:basedOn w:val="Normal"/>
    <w:next w:val="Normal"/>
    <w:qFormat/>
    <w:pPr>
      <w:keepNext w:val="true"/>
      <w:numPr>
        <w:ilvl w:val="6"/>
        <w:numId w:val="1"/>
      </w:numPr>
      <w:outlineLvl w:val="6"/>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2000-07-31T10:36:00Z</dcterms:created>
  <dc:creator>mhurt</dc:creator>
  <dc:description/>
  <dc:language>en-CA</dc:language>
  <cp:lastModifiedBy>mhurt</cp:lastModifiedBy>
  <cp:lastPrinted>2000-07-31T12:01:00Z</cp:lastPrinted>
  <dcterms:modified xsi:type="dcterms:W3CDTF">2000-07-31T15:38:00Z</dcterms:modified>
  <cp:revision>19</cp:revision>
  <dc:subject/>
  <dc:title/>
</cp:coreProperties>
</file>