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pPr>
      <w:r>
        <w:rPr/>
        <w:t>Analysis of TCRs Derating</w:t>
      </w:r>
    </w:p>
    <w:p>
      <w:pPr>
        <w:pStyle w:val="Normal"/>
        <w:rPr/>
      </w:pPr>
      <w:r>
        <w:rPr/>
      </w:r>
    </w:p>
    <w:p>
      <w:pPr>
        <w:pStyle w:val="Heading1"/>
        <w:ind w:hanging="0" w:start="0"/>
        <w:rPr/>
      </w:pPr>
      <w:r>
        <w:rPr/>
        <w:t>Introduction</w:t>
      </w:r>
    </w:p>
    <w:p>
      <w:pPr>
        <w:pStyle w:val="Normal"/>
        <w:rPr/>
      </w:pPr>
      <w:r>
        <w:rPr/>
      </w:r>
    </w:p>
    <w:p>
      <w:pPr>
        <w:pStyle w:val="Normal"/>
        <w:rPr/>
      </w:pPr>
      <w:r>
        <w:rPr/>
        <w:t>The success and effectiveness of transmission congestion rights (TCRs) depend greatly on the design of the instrument.  One controversial design consideration is allowing for the derating of TCRs.  While other markets with similar instruments have derating (fixed transmission rights in PJM, for example), for ERCOT, the practice undermines the usefullness of TCRs.  Moreover, fundamental differences in the ERCOT market structure make lessons from other systems inapplicable.</w:t>
      </w:r>
    </w:p>
    <w:p>
      <w:pPr>
        <w:pStyle w:val="Normal"/>
        <w:rPr/>
      </w:pPr>
      <w:r>
        <w:rPr/>
      </w:r>
    </w:p>
    <w:p>
      <w:pPr>
        <w:pStyle w:val="Normal"/>
        <w:rPr/>
      </w:pPr>
      <w:r>
        <w:rPr/>
        <w:t>This document address the derating issue and explains why ERCOT should not allow for derating of its TCRs.  First, the proposed derating methods are defined for clarity.  Then the motivation of proponents who support derating is explained and challenged.  Examples to illustrate this follow.  Finally, some general principles on TCR revenue impacts and who should face them are presented.</w:t>
      </w:r>
    </w:p>
    <w:p>
      <w:pPr>
        <w:pStyle w:val="Normal"/>
        <w:rPr/>
      </w:pPr>
      <w:r>
        <w:rPr/>
      </w:r>
    </w:p>
    <w:p>
      <w:pPr>
        <w:pStyle w:val="Normal"/>
        <w:rPr/>
      </w:pPr>
      <w:r>
        <w:rPr/>
      </w:r>
    </w:p>
    <w:p>
      <w:pPr>
        <w:pStyle w:val="Normal"/>
        <w:rPr>
          <w:b/>
          <w:bCs/>
        </w:rPr>
      </w:pPr>
      <w:r>
        <w:rPr>
          <w:b/>
          <w:bCs/>
        </w:rPr>
        <w:t>What is Derating?</w:t>
      </w:r>
    </w:p>
    <w:p>
      <w:pPr>
        <w:pStyle w:val="Normal"/>
        <w:rPr>
          <w:b/>
          <w:bCs/>
        </w:rPr>
      </w:pPr>
      <w:r>
        <w:rPr>
          <w:b/>
          <w:bCs/>
        </w:rPr>
      </w:r>
    </w:p>
    <w:p>
      <w:pPr>
        <w:pStyle w:val="Normal"/>
        <w:rPr/>
      </w:pPr>
      <w:r>
        <w:rPr/>
        <w:t>Derating of TCRs falls into two categories.  They are:</w:t>
      </w:r>
    </w:p>
    <w:p>
      <w:pPr>
        <w:pStyle w:val="Normal"/>
        <w:rPr/>
      </w:pPr>
      <w:r>
        <w:rPr/>
      </w:r>
    </w:p>
    <w:p>
      <w:pPr>
        <w:pStyle w:val="Normal"/>
        <w:numPr>
          <w:ilvl w:val="0"/>
          <w:numId w:val="4"/>
        </w:numPr>
        <w:rPr/>
      </w:pPr>
      <w:r>
        <w:rPr/>
        <w:t>selling fewer TCRs than are fully available</w:t>
      </w:r>
    </w:p>
    <w:p>
      <w:pPr>
        <w:pStyle w:val="Normal"/>
        <w:numPr>
          <w:ilvl w:val="0"/>
          <w:numId w:val="4"/>
        </w:numPr>
        <w:rPr/>
      </w:pPr>
      <w:r>
        <w:rPr/>
        <w:t>paying TCR holders less than the full amount</w:t>
      </w:r>
    </w:p>
    <w:p>
      <w:pPr>
        <w:pStyle w:val="Normal"/>
        <w:rPr/>
      </w:pPr>
      <w:r>
        <w:rPr/>
      </w:r>
    </w:p>
    <w:p>
      <w:pPr>
        <w:pStyle w:val="Normal"/>
        <w:rPr/>
      </w:pPr>
      <w:r>
        <w:rPr/>
        <w:t>In the first case, the total amount of TCRs made available via auctions and all other methods is restricted to a number below the fully rated capability of the CSC.  For example, if CSC1 were rated at 1000 MW, selling only 800 MW would constitute an effective derating of the first type.  One consequence is that not all positions can be fully hedged since insufficient TCRs are available.</w:t>
      </w:r>
    </w:p>
    <w:p>
      <w:pPr>
        <w:pStyle w:val="Normal"/>
        <w:rPr/>
      </w:pPr>
      <w:r>
        <w:rPr/>
      </w:r>
    </w:p>
    <w:p>
      <w:pPr>
        <w:pStyle w:val="Normal"/>
        <w:rPr/>
      </w:pPr>
      <w:r>
        <w:rPr/>
        <w:t>In the second case, holders of TCRs are not fully paid the congestion credit.  For example, if the shadow price for CSC1 were $5/MW, a TCR that pays only $4 would be a derating of the second type.  One consequence is that a fully hedged position is now only partially hedged.</w:t>
      </w:r>
    </w:p>
    <w:p>
      <w:pPr>
        <w:pStyle w:val="Normal"/>
        <w:rPr/>
      </w:pPr>
      <w:r>
        <w:rPr/>
      </w:r>
    </w:p>
    <w:p>
      <w:pPr>
        <w:pStyle w:val="Normal"/>
        <w:rPr/>
      </w:pPr>
      <w:r>
        <w:rPr/>
        <w:t>The two categories are independent and can be implemented alone or in combination.  Furthermore, the first type is effectively a market-wide “pre-derating” of the second type.  In any case, derating reduces the effectiveness of TCR as hedges.</w:t>
      </w:r>
    </w:p>
    <w:p>
      <w:pPr>
        <w:pStyle w:val="Heading"/>
        <w:spacing w:lineRule="auto" w:line="360"/>
        <w:jc w:val="start"/>
        <w:rPr>
          <w:sz w:val="24"/>
        </w:rPr>
      </w:pPr>
      <w:r>
        <w:rPr>
          <w:sz w:val="24"/>
        </w:rPr>
      </w:r>
    </w:p>
    <w:p>
      <w:pPr>
        <w:pStyle w:val="Heading"/>
        <w:spacing w:lineRule="auto" w:line="360"/>
        <w:jc w:val="start"/>
        <w:rPr>
          <w:b/>
          <w:bCs/>
          <w:sz w:val="24"/>
        </w:rPr>
      </w:pPr>
      <w:r>
        <w:rPr>
          <w:b/>
          <w:bCs/>
          <w:sz w:val="24"/>
        </w:rPr>
        <w:t xml:space="preserve"> </w:t>
      </w:r>
      <w:r>
        <w:rPr>
          <w:b/>
          <w:bCs/>
          <w:sz w:val="24"/>
        </w:rPr>
        <w:t>The Theory Behind Derating</w:t>
      </w:r>
    </w:p>
    <w:p>
      <w:pPr>
        <w:pStyle w:val="Heading"/>
        <w:jc w:val="start"/>
        <w:rPr>
          <w:sz w:val="24"/>
        </w:rPr>
      </w:pPr>
      <w:r>
        <w:rPr>
          <w:sz w:val="24"/>
        </w:rPr>
        <w:t>The motivation for derating stems from concerns regarding “revenue adequacy.”  ERCOT collects congestion charges from those who have scheduled impacts on the congested CSC.  ERCOT pays congestion credits to those who hold TCRs.  The general hope is that the collected charges equal the required credits.  Under this condition, ERCOT is considered revenue adequate.  However, whenever collected charges are less than required credits, a shortfall exists.  To prevent a shortfall, proponents of derating wish to reduce the required credits by derating the TCRs.</w:t>
      </w:r>
    </w:p>
    <w:p>
      <w:pPr>
        <w:pStyle w:val="Heading"/>
        <w:jc w:val="start"/>
        <w:rPr>
          <w:sz w:val="24"/>
        </w:rPr>
      </w:pPr>
      <w:r>
        <w:rPr>
          <w:sz w:val="24"/>
        </w:rPr>
      </w:r>
    </w:p>
    <w:p>
      <w:pPr>
        <w:pStyle w:val="Heading"/>
        <w:jc w:val="start"/>
        <w:rPr>
          <w:sz w:val="24"/>
        </w:rPr>
      </w:pPr>
      <w:r>
        <w:rPr>
          <w:sz w:val="24"/>
        </w:rPr>
        <w:t>Fixed transmission rights (FTRs) in PJM are similar to TCRs in ERCOT.  Both pay holders of the instrument based in part on the price differences on each side of the path.  In PJM, if a path is rated at 100 MW, then 100 MW of FTR is sold on the path.  During the course of operation, however, if the path capability is reduced, to 90 MW for example, then PJM will be revenue inadequate.  This is because PJM will collect on 90 MW but pay on 100 MW.  To avoid the inadequacy, PJM reduces payments on FTRs to 90%, thereby preventing a shortfall.  In PJM, any reduction in the capability of a path for which the full FTR quantity was sold will result in revenue inadequacy if no derating of the FTR is implemented.</w:t>
      </w:r>
    </w:p>
    <w:p>
      <w:pPr>
        <w:pStyle w:val="Heading"/>
        <w:jc w:val="start"/>
        <w:rPr>
          <w:sz w:val="24"/>
        </w:rPr>
      </w:pPr>
      <w:r>
        <w:rPr>
          <w:sz w:val="24"/>
        </w:rPr>
      </w:r>
    </w:p>
    <w:p>
      <w:pPr>
        <w:pStyle w:val="Heading"/>
        <w:jc w:val="start"/>
        <w:rPr>
          <w:sz w:val="24"/>
        </w:rPr>
      </w:pPr>
      <w:r>
        <w:rPr>
          <w:sz w:val="24"/>
        </w:rPr>
        <w:t>The conclusions and operation from markets such as PJM illustrate the situations that can lead to revenue inadequacy and therefore motivate derating of financial hedges.  However, ERCOT rules are different from PJM and its brethren, and these differences make the conclusions of those markets a misleading example for ERCOT.  The next section examines various scenarios under ERCOT rules, and illustrates the revenue situations in ERCOT and how they differ from PJM-like markets.</w:t>
      </w:r>
    </w:p>
    <w:p>
      <w:pPr>
        <w:pStyle w:val="Heading"/>
        <w:jc w:val="start"/>
        <w:rPr>
          <w:sz w:val="24"/>
        </w:rPr>
      </w:pPr>
      <w:r>
        <w:rPr>
          <w:sz w:val="24"/>
        </w:rPr>
      </w:r>
    </w:p>
    <w:p>
      <w:pPr>
        <w:pStyle w:val="Heading"/>
        <w:jc w:val="start"/>
        <w:rPr>
          <w:b/>
          <w:bCs/>
          <w:sz w:val="24"/>
        </w:rPr>
      </w:pPr>
      <w:r>
        <w:rPr>
          <w:b/>
          <w:bCs/>
          <w:sz w:val="24"/>
        </w:rPr>
        <w:t>TCR Revenue Impact Examples for ERCOT</w:t>
      </w:r>
    </w:p>
    <w:p>
      <w:pPr>
        <w:pStyle w:val="Normal"/>
        <w:rPr>
          <w:b/>
          <w:bCs/>
          <w:sz w:val="24"/>
        </w:rPr>
      </w:pPr>
      <w:r>
        <w:rPr>
          <w:b/>
          <w:bCs/>
          <w:sz w:val="24"/>
        </w:rPr>
      </w:r>
    </w:p>
    <w:p>
      <w:pPr>
        <w:pStyle w:val="Normal"/>
        <w:rPr/>
      </w:pPr>
      <w:r>
        <w:rPr/>
        <w:t>Consider two zones as shown in the figure below and the following characteristics.</w:t>
      </w:r>
    </w:p>
    <w:p>
      <w:pPr>
        <w:pStyle w:val="Normal"/>
        <w:rPr/>
      </w:pPr>
      <w:r>
        <w:rPr/>
      </w:r>
    </w:p>
    <w:p>
      <w:pPr>
        <w:pStyle w:val="Normal"/>
        <w:rPr>
          <w:sz w:val="20"/>
          <w:lang w:val="en-CA" w:eastAsia="en-CA"/>
        </w:rPr>
      </w:pPr>
      <w:r>
        <w:rPr>
          <w:sz w:val="20"/>
          <w:lang w:val="en-CA" w:eastAsia="en-CA"/>
        </w:rPr>
        <mc:AlternateContent>
          <mc:Choice Requires="wpg">
            <w:drawing>
              <wp:anchor behindDoc="0" distT="0" distB="0" distL="114935" distR="114935" simplePos="0" locked="0" layoutInCell="1" allowOverlap="1" relativeHeight="2">
                <wp:simplePos x="0" y="0"/>
                <wp:positionH relativeFrom="column">
                  <wp:posOffset>1661795</wp:posOffset>
                </wp:positionH>
                <wp:positionV relativeFrom="paragraph">
                  <wp:posOffset>12700</wp:posOffset>
                </wp:positionV>
                <wp:extent cx="1838960" cy="1635760"/>
                <wp:effectExtent l="5715" t="5715" r="5080" b="5080"/>
                <wp:wrapNone/>
                <wp:docPr id="1" name=""/>
                <a:graphic xmlns:a="http://schemas.openxmlformats.org/drawingml/2006/main">
                  <a:graphicData uri="http://schemas.microsoft.com/office/word/2010/wordprocessingGroup">
                    <wpg:wgp>
                      <wpg:cNvGrpSpPr/>
                      <wpg:grpSpPr>
                        <a:xfrm>
                          <a:off x="0" y="0"/>
                          <a:ext cx="1838880" cy="1635840"/>
                          <a:chOff x="0" y="0"/>
                          <a:chExt cx="1838880" cy="1635840"/>
                        </a:xfrm>
                      </wpg:grpSpPr>
                      <wps:wsp>
                        <wps:cNvPr id="2" name=""/>
                        <wps:cNvSpPr/>
                        <wps:spPr>
                          <a:xfrm>
                            <a:off x="0" y="0"/>
                            <a:ext cx="1838160" cy="657360"/>
                          </a:xfrm>
                          <a:prstGeom prst="ellipse">
                            <a:avLst/>
                          </a:prstGeom>
                          <a:solidFill>
                            <a:srgbClr val="ffffff"/>
                          </a:solidFill>
                          <a:ln w="9360">
                            <a:solidFill>
                              <a:srgbClr val="000000"/>
                            </a:solidFill>
                            <a:miter/>
                          </a:ln>
                        </wps:spPr>
                        <wps:style>
                          <a:lnRef idx="0"/>
                          <a:fillRef idx="0"/>
                          <a:effectRef idx="0"/>
                          <a:fontRef idx="minor"/>
                        </wps:style>
                        <wps:bodyPr/>
                      </wps:wsp>
                      <wps:wsp>
                        <wps:cNvPr id="3" name=""/>
                        <wps:cNvSpPr/>
                        <wps:spPr>
                          <a:xfrm>
                            <a:off x="720" y="978480"/>
                            <a:ext cx="1838160" cy="657360"/>
                          </a:xfrm>
                          <a:prstGeom prst="ellipse">
                            <a:avLst/>
                          </a:prstGeom>
                          <a:solidFill>
                            <a:srgbClr val="ffffff"/>
                          </a:solidFill>
                          <a:ln w="9360">
                            <a:solidFill>
                              <a:srgbClr val="000000"/>
                            </a:solidFill>
                            <a:miter/>
                          </a:ln>
                        </wps:spPr>
                        <wps:style>
                          <a:lnRef idx="0"/>
                          <a:fillRef idx="0"/>
                          <a:effectRef idx="0"/>
                          <a:fontRef idx="minor"/>
                        </wps:style>
                        <wps:bodyPr/>
                      </wps:wsp>
                      <wps:wsp>
                        <wps:cNvSpPr txBox="1"/>
                        <wps:spPr>
                          <a:xfrm>
                            <a:off x="618480" y="168120"/>
                            <a:ext cx="676440" cy="33336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Zone A</w:t>
                              </w:r>
                            </w:p>
                          </w:txbxContent>
                        </wps:txbx>
                        <wps:bodyPr wrap="square" anchor="t">
                          <a:noAutofit/>
                        </wps:bodyPr>
                      </wps:wsp>
                      <wps:wsp>
                        <wps:cNvSpPr txBox="1"/>
                        <wps:spPr>
                          <a:xfrm>
                            <a:off x="605160" y="1158840"/>
                            <a:ext cx="704880" cy="31176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Zone B</w:t>
                              </w:r>
                            </w:p>
                          </w:txbxContent>
                        </wps:txbx>
                        <wps:bodyPr wrap="square" anchor="t">
                          <a:noAutofit/>
                        </wps:bodyPr>
                      </wps:wsp>
                      <wps:wsp>
                        <wps:cNvSpPr/>
                        <wps:spPr>
                          <a:xfrm>
                            <a:off x="919440" y="657360"/>
                            <a:ext cx="0" cy="31428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130.85pt;margin-top:1pt;width:144.8pt;height:128.8pt" coordorigin="2617,20" coordsize="2896,2576">
                <v:oval id="shape_0" fillcolor="white" stroked="t" o:allowincell="f" style="position:absolute;left:2617;top:20;width:2894;height:1034;mso-wrap-style:none;v-text-anchor:middle">
                  <v:fill o:detectmouseclick="t" type="solid" color2="black"/>
                  <v:stroke color="black" weight="9360" joinstyle="miter" endcap="flat"/>
                  <w10:wrap type="none"/>
                </v:oval>
                <v:oval id="shape_0" fillcolor="white" stroked="t" o:allowincell="f" style="position:absolute;left:2618;top:1561;width:2894;height:1034;mso-wrap-style:none;v-text-anchor:middle">
                  <v:fill o:detectmouseclick="t" type="solid" color2="black"/>
                  <v:stroke color="black" weight="9360" joinstyle="miter" endcap="flat"/>
                  <w10:wrap type="none"/>
                </v:oval>
                <v:shapetype id="_x0000_t202" coordsize="21600,21600" o:spt="202" path="m,l,21600l21600,21600l21600,xe">
                  <v:stroke joinstyle="miter"/>
                  <v:path gradientshapeok="t" o:connecttype="rect"/>
                </v:shapetype>
                <v:shape id="shape_0" fillcolor="white" stroked="f" o:allowincell="f" style="position:absolute;left:3591;top:285;width:1064;height:524;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Zone A</w:t>
                        </w:r>
                      </w:p>
                    </w:txbxContent>
                  </v:textbox>
                  <v:fill o:detectmouseclick="t" type="solid" color2="black"/>
                  <v:stroke color="#3465a4" joinstyle="round" endcap="flat"/>
                  <w10:wrap type="none"/>
                </v:shape>
                <v:shape id="shape_0" fillcolor="white" stroked="f" o:allowincell="f" style="position:absolute;left:3570;top:1845;width:1109;height:490;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Zone B</w:t>
                        </w:r>
                      </w:p>
                    </w:txbxContent>
                  </v:textbox>
                  <v:fill o:detectmouseclick="t" type="solid" color2="black"/>
                  <v:stroke color="#3465a4" joinstyle="round" endcap="flat"/>
                  <w10:wrap type="none"/>
                </v:shape>
                <v:line id="shape_0" from="4065,1055" to="4065,1549" stroked="t" o:allowincell="f" style="position:absolute">
                  <v:stroke color="black" weight="9360" endarrow="block" endarrowwidth="medium" endarrowlength="medium" joinstyle="miter" endcap="flat"/>
                  <v:fill o:detectmouseclick="t" on="false"/>
                  <w10:wrap type="none"/>
                </v:line>
              </v:group>
            </w:pict>
          </mc:Fallback>
        </mc:AlternateContent>
      </w:r>
    </w:p>
    <w:p>
      <w:pPr>
        <w:pStyle w:val="Normal"/>
        <w:rPr>
          <w:sz w:val="20"/>
          <w:lang w:val="en-CA" w:eastAsia="en-CA"/>
        </w:rPr>
      </w:pPr>
      <w:r>
        <w:rPr>
          <w:sz w:val="20"/>
          <w:lang w:val="en-CA" w:eastAsia="en-CA"/>
        </w:rPr>
      </w:r>
    </w:p>
    <w:p>
      <w:pPr>
        <w:pStyle w:val="Normal"/>
        <w:rPr>
          <w:sz w:val="20"/>
          <w:lang w:val="en-CA" w:eastAsia="en-CA"/>
        </w:rPr>
      </w:pPr>
      <w:r>
        <w:rPr>
          <w:sz w:val="20"/>
          <w:lang w:val="en-CA" w:eastAsia="en-CA"/>
        </w:rPr>
      </w:r>
    </w:p>
    <w:p>
      <w:pPr>
        <w:pStyle w:val="Normal"/>
        <w:rPr>
          <w:sz w:val="20"/>
          <w:lang w:val="en-CA" w:eastAsia="en-CA"/>
        </w:rPr>
      </w:pPr>
      <w:r>
        <w:rPr>
          <w:sz w:val="20"/>
          <w:lang w:val="en-CA" w:eastAsia="en-CA"/>
        </w:rPr>
      </w:r>
    </w:p>
    <w:p>
      <w:pPr>
        <w:pStyle w:val="Normal"/>
        <w:rPr>
          <w:sz w:val="20"/>
          <w:lang w:val="en-CA" w:eastAsia="en-CA"/>
        </w:rPr>
      </w:pPr>
      <w:r>
        <w:rPr>
          <w:sz w:val="20"/>
          <w:lang w:val="en-CA" w:eastAsia="en-CA"/>
        </w:rPr>
      </w:r>
    </w:p>
    <w:p>
      <w:pPr>
        <w:pStyle w:val="Normal"/>
        <w:rPr>
          <w:sz w:val="20"/>
          <w:lang w:val="en-CA" w:eastAsia="en-CA"/>
        </w:rPr>
      </w:pPr>
      <w:r>
        <w:rPr>
          <w:sz w:val="20"/>
          <w:lang w:val="en-CA" w:eastAsia="en-CA"/>
        </w:rPr>
      </w:r>
    </w:p>
    <w:p>
      <w:pPr>
        <w:pStyle w:val="Normal"/>
        <w:rPr>
          <w:sz w:val="20"/>
          <w:lang w:val="en-CA" w:eastAsia="en-CA"/>
        </w:rPr>
      </w:pPr>
      <w:r>
        <w:rPr>
          <w:sz w:val="20"/>
          <w:lang w:val="en-CA" w:eastAsia="en-CA"/>
        </w:rPr>
      </w:r>
    </w:p>
    <w:p>
      <w:pPr>
        <w:pStyle w:val="Normal"/>
        <w:rPr>
          <w:sz w:val="20"/>
          <w:lang w:val="en-CA" w:eastAsia="en-CA"/>
        </w:rPr>
      </w:pPr>
      <w:r>
        <w:rPr>
          <w:sz w:val="20"/>
          <w:lang w:val="en-CA" w:eastAsia="en-CA"/>
        </w:rPr>
      </w:r>
    </w:p>
    <w:p>
      <w:pPr>
        <w:pStyle w:val="Normal"/>
        <w:rPr>
          <w:sz w:val="20"/>
          <w:lang w:val="en-CA" w:eastAsia="en-CA"/>
        </w:rPr>
      </w:pPr>
      <w:r>
        <w:rPr>
          <w:sz w:val="20"/>
          <w:lang w:val="en-CA" w:eastAsia="en-CA"/>
        </w:rPr>
      </w:r>
    </w:p>
    <w:p>
      <w:pPr>
        <w:pStyle w:val="Normal"/>
        <w:rPr>
          <w:sz w:val="20"/>
          <w:lang w:val="en-CA" w:eastAsia="en-CA"/>
        </w:rPr>
      </w:pPr>
      <w:r>
        <w:rPr>
          <w:sz w:val="20"/>
          <w:lang w:val="en-CA" w:eastAsia="en-CA"/>
        </w:rPr>
      </w:r>
    </w:p>
    <w:p>
      <w:pPr>
        <w:pStyle w:val="Normal"/>
        <w:rPr>
          <w:sz w:val="20"/>
          <w:lang w:val="en-CA" w:eastAsia="en-CA"/>
        </w:rPr>
      </w:pPr>
      <w:r>
        <w:rPr>
          <w:sz w:val="20"/>
          <w:lang w:val="en-CA" w:eastAsia="en-CA"/>
        </w:rPr>
      </w:r>
    </w:p>
    <w:p>
      <w:pPr>
        <w:pStyle w:val="Normal"/>
        <w:rPr>
          <w:sz w:val="20"/>
          <w:lang w:val="en-CA" w:eastAsia="en-CA"/>
        </w:rPr>
      </w:pPr>
      <w:r>
        <w:rPr>
          <w:sz w:val="20"/>
          <w:lang w:val="en-CA" w:eastAsia="en-CA"/>
        </w:rPr>
      </w:r>
    </w:p>
    <w:p>
      <w:pPr>
        <w:pStyle w:val="Normal"/>
        <w:rPr>
          <w:sz w:val="20"/>
          <w:lang w:val="en-CA" w:eastAsia="en-CA"/>
        </w:rPr>
      </w:pPr>
      <w:r>
        <w:rPr>
          <w:sz w:val="20"/>
          <w:lang w:val="en-CA" w:eastAsia="en-CA"/>
        </w:rPr>
      </w:r>
    </w:p>
    <w:p>
      <w:pPr>
        <w:pStyle w:val="Normal"/>
        <w:numPr>
          <w:ilvl w:val="0"/>
          <w:numId w:val="3"/>
        </w:numPr>
        <w:rPr>
          <w:lang w:val="en-CA" w:eastAsia="en-CA"/>
        </w:rPr>
      </w:pPr>
      <w:r>
        <w:rPr>
          <w:lang w:val="en-CA" w:eastAsia="en-CA"/>
        </w:rPr>
        <w:t>The CSC is rated at 1,000 MW.</w:t>
      </w:r>
    </w:p>
    <w:p>
      <w:pPr>
        <w:pStyle w:val="Normal"/>
        <w:numPr>
          <w:ilvl w:val="0"/>
          <w:numId w:val="3"/>
        </w:numPr>
        <w:rPr>
          <w:lang w:val="en-CA" w:eastAsia="en-CA"/>
        </w:rPr>
      </w:pPr>
      <w:r>
        <w:rPr>
          <w:lang w:val="en-CA" w:eastAsia="en-CA"/>
        </w:rPr>
        <w:t>The Zone-A to Zone-B shift factor is 0.40.</w:t>
      </w:r>
    </w:p>
    <w:p>
      <w:pPr>
        <w:pStyle w:val="Normal"/>
        <w:numPr>
          <w:ilvl w:val="0"/>
          <w:numId w:val="3"/>
        </w:numPr>
        <w:rPr>
          <w:lang w:val="en-CA" w:eastAsia="en-CA"/>
        </w:rPr>
      </w:pPr>
      <w:r>
        <w:rPr>
          <w:lang w:val="en-CA" w:eastAsia="en-CA"/>
        </w:rPr>
        <w:t>1,000 MW of TCRs are sold on the CSC via all outlets.</w:t>
      </w:r>
    </w:p>
    <w:p>
      <w:pPr>
        <w:pStyle w:val="Normal"/>
        <w:rPr>
          <w:lang w:val="en-CA" w:eastAsia="en-CA"/>
        </w:rPr>
      </w:pPr>
      <w:r>
        <w:rPr>
          <w:lang w:val="en-CA" w:eastAsia="en-CA"/>
        </w:rPr>
      </w:r>
    </w:p>
    <w:p>
      <w:pPr>
        <w:pStyle w:val="Normal"/>
        <w:rPr/>
      </w:pPr>
      <w:r>
        <w:rPr>
          <w:lang w:val="en-CA" w:eastAsia="en-CA"/>
        </w:rPr>
        <w:t>For these examples, suppose further that there are 3,000 MW of flow scheduled from A to B.</w:t>
      </w:r>
      <w:r>
        <w:rPr/>
        <w:t xml:space="preserve">  The CSC impact is calculated as follows:</w:t>
      </w:r>
    </w:p>
    <w:p>
      <w:pPr>
        <w:pStyle w:val="Normal"/>
        <w:rPr/>
      </w:pPr>
      <w:r>
        <w:rPr/>
      </w:r>
    </w:p>
    <w:p>
      <w:pPr>
        <w:pStyle w:val="Normal"/>
        <w:jc w:val="center"/>
        <w:rPr/>
      </w:pPr>
      <w:r>
        <w:rPr/>
        <w:t>0.40 * 3,000 MW = 1,200 MW.</w:t>
      </w:r>
    </w:p>
    <w:p>
      <w:pPr>
        <w:pStyle w:val="Normal"/>
        <w:rPr/>
      </w:pPr>
      <w:r>
        <w:rPr/>
        <w:t xml:space="preserve">The CSC is overloaded by 200 MW, so ERCOT must procure 200 MW of balancing energy to clear the congestion.  </w:t>
      </w:r>
      <w:r>
        <w:rPr>
          <w:lang w:val="en-CA" w:eastAsia="en-CA"/>
        </w:rPr>
        <w:t>For simplicity, assume the balance energy bid stack is the same in both zones and displayed in the graph below:</w:t>
      </w:r>
    </w:p>
    <w:p>
      <w:pPr>
        <w:pStyle w:val="Normal"/>
        <w:rPr>
          <w:lang w:val="en-CA" w:eastAsia="en-CA"/>
        </w:rPr>
      </w:pPr>
      <w:r>
        <w:rPr>
          <w:lang w:val="en-CA" w:eastAsia="en-CA"/>
        </w:rPr>
      </w:r>
    </w:p>
    <w:p>
      <w:pPr>
        <w:pStyle w:val="Normal"/>
        <w:rPr>
          <w:sz w:val="20"/>
          <w:lang w:val="en-CA" w:eastAsia="en-CA"/>
        </w:rPr>
      </w:pPr>
      <w:r>
        <w:rPr>
          <w:sz w:val="20"/>
          <w:lang w:val="en-CA" w:eastAsia="en-CA"/>
        </w:rPr>
        <w:drawing>
          <wp:anchor behindDoc="0" distT="0" distB="0" distL="114935" distR="114935" simplePos="0" locked="0" layoutInCell="1" allowOverlap="1" relativeHeight="3">
            <wp:simplePos x="0" y="0"/>
            <wp:positionH relativeFrom="column">
              <wp:posOffset>471170</wp:posOffset>
            </wp:positionH>
            <wp:positionV relativeFrom="paragraph">
              <wp:posOffset>46355</wp:posOffset>
            </wp:positionV>
            <wp:extent cx="4243070" cy="2476500"/>
            <wp:effectExtent l="0" t="0" r="0" b="0"/>
            <wp:wrapNone/>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2"/>
                    <a:srcRect l="-7" t="-12" r="-7" b="-12"/>
                    <a:stretch>
                      <a:fillRect/>
                    </a:stretch>
                  </pic:blipFill>
                  <pic:spPr bwMode="auto">
                    <a:xfrm>
                      <a:off x="0" y="0"/>
                      <a:ext cx="4243070" cy="2476500"/>
                    </a:xfrm>
                    <a:prstGeom prst="rect">
                      <a:avLst/>
                    </a:prstGeom>
                    <a:noFill/>
                  </pic:spPr>
                </pic:pic>
              </a:graphicData>
            </a:graphic>
          </wp:anchor>
        </w:drawing>
      </w:r>
    </w:p>
    <w:p>
      <w:pPr>
        <w:pStyle w:val="Header"/>
        <w:tabs>
          <w:tab w:val="clear" w:pos="4320"/>
          <w:tab w:val="clear" w:pos="8640"/>
        </w:tabs>
        <w:rPr>
          <w:lang w:val="en-CA" w:eastAsia="en-CA"/>
        </w:rPr>
      </w:pPr>
      <w:r>
        <w:rPr>
          <w:lang w:val="en-CA" w:eastAsia="en-CA"/>
        </w:rPr>
      </w:r>
    </w:p>
    <w:p>
      <w:pPr>
        <w:pStyle w:val="Normal"/>
        <w:rPr>
          <w:sz w:val="20"/>
          <w:lang w:val="en-CA" w:eastAsia="en-CA"/>
        </w:rPr>
      </w:pPr>
      <w:r>
        <w:rPr>
          <w:sz w:val="20"/>
          <w:lang w:val="en-CA" w:eastAsia="en-CA"/>
        </w:rPr>
      </w:r>
    </w:p>
    <w:p>
      <w:pPr>
        <w:pStyle w:val="Normal"/>
        <w:rPr>
          <w:sz w:val="20"/>
          <w:lang w:val="en-CA" w:eastAsia="en-CA"/>
        </w:rPr>
      </w:pPr>
      <w:r>
        <w:rPr>
          <w:sz w:val="20"/>
          <w:lang w:val="en-CA" w:eastAsia="en-CA"/>
        </w:rPr>
      </w:r>
    </w:p>
    <w:p>
      <w:pPr>
        <w:pStyle w:val="Normal"/>
        <w:rPr>
          <w:sz w:val="20"/>
          <w:lang w:val="en-CA" w:eastAsia="en-CA"/>
        </w:rPr>
      </w:pPr>
      <w:r>
        <w:rPr>
          <w:sz w:val="20"/>
          <w:lang w:val="en-CA" w:eastAsia="en-CA"/>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ind w:hanging="0" w:start="0"/>
        <w:rPr>
          <w:b w:val="false"/>
          <w:bCs w:val="false"/>
          <w:u w:val="single"/>
        </w:rPr>
      </w:pPr>
      <w:r>
        <w:rPr>
          <w:b w:val="false"/>
          <w:bCs w:val="false"/>
          <w:u w:val="single"/>
        </w:rPr>
        <w:t>Case I:  Normal</w:t>
      </w:r>
    </w:p>
    <w:p>
      <w:pPr>
        <w:pStyle w:val="Normal"/>
        <w:rPr>
          <w:b/>
          <w:bCs/>
          <w:u w:val="single"/>
        </w:rPr>
      </w:pPr>
      <w:r>
        <w:rPr>
          <w:b/>
          <w:bCs/>
          <w:u w:val="single"/>
        </w:rPr>
      </w:r>
    </w:p>
    <w:p>
      <w:pPr>
        <w:pStyle w:val="Normal"/>
        <w:tabs>
          <w:tab w:val="clear" w:pos="720"/>
          <w:tab w:val="right" w:pos="4410" w:leader="none"/>
          <w:tab w:val="right" w:pos="7200" w:leader="none"/>
        </w:tabs>
        <w:rPr/>
      </w:pPr>
      <w:r>
        <w:rPr/>
        <w:t>The Zone-A balancing energy price is: 8 $/MW.</w:t>
      </w:r>
    </w:p>
    <w:p>
      <w:pPr>
        <w:pStyle w:val="Normal"/>
        <w:tabs>
          <w:tab w:val="clear" w:pos="720"/>
          <w:tab w:val="right" w:pos="4410" w:leader="none"/>
          <w:tab w:val="right" w:pos="7200" w:leader="none"/>
        </w:tabs>
        <w:rPr/>
      </w:pPr>
      <w:r>
        <w:rPr/>
        <w:t>The Zone-B balancing energy price is: 12 $/MW.</w:t>
      </w:r>
    </w:p>
    <w:p>
      <w:pPr>
        <w:pStyle w:val="Normal"/>
        <w:tabs>
          <w:tab w:val="clear" w:pos="720"/>
          <w:tab w:val="right" w:pos="4410" w:leader="none"/>
          <w:tab w:val="right" w:pos="7200" w:leader="none"/>
        </w:tabs>
        <w:rPr/>
      </w:pPr>
      <w:r>
        <w:rPr/>
      </w:r>
    </w:p>
    <w:p>
      <w:pPr>
        <w:pStyle w:val="Normal"/>
        <w:tabs>
          <w:tab w:val="clear" w:pos="720"/>
          <w:tab w:val="right" w:pos="4410" w:leader="none"/>
          <w:tab w:val="right" w:pos="7200" w:leader="none"/>
        </w:tabs>
        <w:rPr/>
      </w:pPr>
      <w:r>
        <w:rPr/>
        <w:t>The shadow price equals the difference in balancing energy prices divided by the CSC shift factor.  Congestion charges are calculated by multiplying the shadow price by the scheduled CSC impact, which is the product of the shift factor and the scheduled zonal flow.  TCR payments are based on the shadow price times the TCR quantity.  Therefore:</w:t>
      </w:r>
    </w:p>
    <w:p>
      <w:pPr>
        <w:pStyle w:val="Normal"/>
        <w:tabs>
          <w:tab w:val="clear" w:pos="720"/>
          <w:tab w:val="right" w:pos="4410" w:leader="none"/>
          <w:tab w:val="right" w:pos="7200" w:leader="none"/>
        </w:tabs>
        <w:rPr/>
      </w:pPr>
      <w:r>
        <w:rPr/>
      </w:r>
    </w:p>
    <w:p>
      <w:pPr>
        <w:pStyle w:val="Header"/>
        <w:tabs>
          <w:tab w:val="clear" w:pos="4320"/>
          <w:tab w:val="clear" w:pos="8640"/>
          <w:tab w:val="right" w:pos="6210" w:leader="none"/>
          <w:tab w:val="right" w:pos="7200" w:leader="none"/>
        </w:tabs>
        <w:rPr/>
      </w:pPr>
      <w:r>
        <w:rPr/>
        <w:t>shadow price</w:t>
        <w:tab/>
        <w:t>(12 $/MW – 8 $/MW) / 0.40  =</w:t>
        <w:tab/>
        <w:t>10 $/MW</w:t>
      </w:r>
    </w:p>
    <w:p>
      <w:pPr>
        <w:pStyle w:val="Header"/>
        <w:tabs>
          <w:tab w:val="clear" w:pos="4320"/>
          <w:tab w:val="clear" w:pos="8640"/>
          <w:tab w:val="right" w:pos="6210" w:leader="none"/>
          <w:tab w:val="right" w:pos="7200" w:leader="none"/>
        </w:tabs>
        <w:rPr/>
      </w:pPr>
      <w:r>
        <w:rPr/>
        <w:t>congestion charge</w:t>
        <w:tab/>
        <w:t>10 $/MW * 0.40 * 3,000MW  =</w:t>
        <w:tab/>
        <w:t>$12,000</w:t>
      </w:r>
    </w:p>
    <w:p>
      <w:pPr>
        <w:pStyle w:val="Normal"/>
        <w:tabs>
          <w:tab w:val="clear" w:pos="720"/>
          <w:tab w:val="right" w:pos="6210" w:leader="none"/>
          <w:tab w:val="right" w:pos="7200" w:leader="none"/>
        </w:tabs>
        <w:rPr/>
      </w:pPr>
      <w:r>
        <w:rPr/>
        <w:t>TCR payments</w:t>
        <w:tab/>
        <w:t xml:space="preserve">            10 $/MW * 1,000 MW  =</w:t>
        <w:tab/>
      </w:r>
      <w:r>
        <w:rPr>
          <w:u w:val="single"/>
        </w:rPr>
        <w:t>$10,000</w:t>
      </w:r>
    </w:p>
    <w:p>
      <w:pPr>
        <w:pStyle w:val="Header"/>
        <w:tabs>
          <w:tab w:val="clear" w:pos="4320"/>
          <w:tab w:val="clear" w:pos="8640"/>
          <w:tab w:val="right" w:pos="7200" w:leader="none"/>
        </w:tabs>
        <w:rPr/>
      </w:pPr>
      <w:r>
        <w:rPr/>
        <w:t>ERCOT revenue impact</w:t>
        <w:tab/>
        <w:t xml:space="preserve">       $ 2,000</w:t>
      </w:r>
    </w:p>
    <w:p>
      <w:pPr>
        <w:pStyle w:val="Normal"/>
        <w:rPr/>
      </w:pPr>
      <w:r>
        <w:rPr/>
      </w:r>
    </w:p>
    <w:p>
      <w:pPr>
        <w:pStyle w:val="Heading1"/>
        <w:ind w:hanging="0" w:start="0"/>
        <w:rPr>
          <w:b w:val="false"/>
          <w:bCs w:val="false"/>
          <w:u w:val="single"/>
        </w:rPr>
      </w:pPr>
      <w:r>
        <w:rPr>
          <w:b w:val="false"/>
          <w:bCs w:val="false"/>
          <w:u w:val="single"/>
        </w:rPr>
        <w:t>CASE II:  Derating the CSC Capability</w:t>
      </w:r>
    </w:p>
    <w:p>
      <w:pPr>
        <w:pStyle w:val="Normal"/>
        <w:rPr>
          <w:b/>
          <w:bCs/>
          <w:u w:val="single"/>
        </w:rPr>
      </w:pPr>
      <w:r>
        <w:rPr>
          <w:b/>
          <w:bCs/>
          <w:u w:val="single"/>
        </w:rPr>
      </w:r>
    </w:p>
    <w:p>
      <w:pPr>
        <w:pStyle w:val="Normal"/>
        <w:rPr/>
      </w:pPr>
      <w:r>
        <w:rPr/>
        <w:t>Suppose the CSC capability is derated from its initial value of 1,000 MW to 800 MW.  Several sub-cases are considered, depending on the change in the CSC shift factor.</w:t>
      </w:r>
    </w:p>
    <w:p>
      <w:pPr>
        <w:pStyle w:val="Normal"/>
        <w:rPr/>
      </w:pPr>
      <w:r>
        <w:rPr/>
      </w:r>
    </w:p>
    <w:p>
      <w:pPr>
        <w:pStyle w:val="Normal"/>
        <w:numPr>
          <w:ilvl w:val="0"/>
          <w:numId w:val="5"/>
        </w:numPr>
        <w:tabs>
          <w:tab w:val="clear" w:pos="720"/>
          <w:tab w:val="left" w:pos="390" w:leader="none"/>
        </w:tabs>
        <w:ind w:hanging="390" w:start="390" w:end="0"/>
        <w:rPr>
          <w:i/>
          <w:i/>
          <w:iCs/>
        </w:rPr>
      </w:pPr>
      <w:r>
        <w:rPr>
          <w:i/>
          <w:iCs/>
        </w:rPr>
        <w:t xml:space="preserve">The shift factor remains constant. </w:t>
      </w:r>
    </w:p>
    <w:p>
      <w:pPr>
        <w:pStyle w:val="Header"/>
        <w:tabs>
          <w:tab w:val="clear" w:pos="4320"/>
          <w:tab w:val="clear" w:pos="8640"/>
        </w:tabs>
        <w:rPr>
          <w:i/>
          <w:i/>
          <w:iCs/>
        </w:rPr>
      </w:pPr>
      <w:r>
        <w:rPr>
          <w:i/>
          <w:iCs/>
        </w:rPr>
      </w:r>
    </w:p>
    <w:p>
      <w:pPr>
        <w:pStyle w:val="BodyTextIndent"/>
        <w:ind w:start="0" w:end="0"/>
        <w:rPr/>
      </w:pPr>
      <w:r>
        <w:rPr/>
        <w:t>The CSC impact is still 1,200 MW as in Case I.  However, since the CSC capability is reduced to 800 MW, 400 MW of balancing energy is needed.  Therefore:</w:t>
      </w:r>
    </w:p>
    <w:p>
      <w:pPr>
        <w:pStyle w:val="Normal"/>
        <w:rPr/>
      </w:pPr>
      <w:r>
        <w:rPr/>
      </w:r>
    </w:p>
    <w:p>
      <w:pPr>
        <w:pStyle w:val="Normal"/>
        <w:rPr/>
      </w:pPr>
      <w:r>
        <w:rPr/>
        <w:t>The Zone-A balancing energy price is: 6 $/MW.</w:t>
      </w:r>
    </w:p>
    <w:p>
      <w:pPr>
        <w:pStyle w:val="Normal"/>
        <w:rPr/>
      </w:pPr>
      <w:r>
        <w:rPr/>
        <w:t>The Zone-B balancing energy price is: 14 $/MW.</w:t>
      </w:r>
    </w:p>
    <w:p>
      <w:pPr>
        <w:pStyle w:val="Normal"/>
        <w:rPr/>
      </w:pPr>
      <w:r>
        <w:rPr/>
        <w:t>The prices, charges, payments, and revenue impact are:</w:t>
      </w:r>
    </w:p>
    <w:p>
      <w:pPr>
        <w:pStyle w:val="Header"/>
        <w:tabs>
          <w:tab w:val="clear" w:pos="4320"/>
          <w:tab w:val="clear" w:pos="8640"/>
          <w:tab w:val="right" w:pos="6210" w:leader="none"/>
          <w:tab w:val="right" w:pos="7200" w:leader="none"/>
        </w:tabs>
        <w:rPr/>
      </w:pPr>
      <w:r>
        <w:rPr/>
      </w:r>
    </w:p>
    <w:p>
      <w:pPr>
        <w:pStyle w:val="Header"/>
        <w:tabs>
          <w:tab w:val="clear" w:pos="4320"/>
          <w:tab w:val="clear" w:pos="8640"/>
          <w:tab w:val="right" w:pos="6210" w:leader="none"/>
          <w:tab w:val="right" w:pos="7200" w:leader="none"/>
        </w:tabs>
        <w:rPr/>
      </w:pPr>
      <w:r>
        <w:rPr/>
        <w:t>shadow price</w:t>
        <w:tab/>
        <w:t>(14 $/MW – 6 $/MW) / 0.4  =</w:t>
        <w:tab/>
        <w:t>20 $/MW</w:t>
      </w:r>
    </w:p>
    <w:p>
      <w:pPr>
        <w:pStyle w:val="Header"/>
        <w:tabs>
          <w:tab w:val="clear" w:pos="4320"/>
          <w:tab w:val="clear" w:pos="8640"/>
          <w:tab w:val="right" w:pos="6210" w:leader="none"/>
          <w:tab w:val="right" w:pos="7200" w:leader="none"/>
        </w:tabs>
        <w:rPr/>
      </w:pPr>
      <w:r>
        <w:rPr/>
        <w:t>congestion charge</w:t>
        <w:tab/>
        <w:t>20 $/MW * 0.40 * 3,000MW  =</w:t>
        <w:tab/>
        <w:t>$24,000</w:t>
      </w:r>
    </w:p>
    <w:p>
      <w:pPr>
        <w:pStyle w:val="Normal"/>
        <w:tabs>
          <w:tab w:val="clear" w:pos="720"/>
          <w:tab w:val="right" w:pos="6210" w:leader="none"/>
          <w:tab w:val="right" w:pos="7200" w:leader="none"/>
        </w:tabs>
        <w:rPr/>
      </w:pPr>
      <w:r>
        <w:rPr/>
        <w:t>TCR payments</w:t>
        <w:tab/>
        <w:t>20 $/MW * 1,000 MW  =</w:t>
        <w:tab/>
      </w:r>
      <w:r>
        <w:rPr>
          <w:u w:val="single"/>
        </w:rPr>
        <w:t>$20,000</w:t>
      </w:r>
    </w:p>
    <w:p>
      <w:pPr>
        <w:pStyle w:val="Header"/>
        <w:tabs>
          <w:tab w:val="clear" w:pos="4320"/>
          <w:tab w:val="clear" w:pos="8640"/>
          <w:tab w:val="right" w:pos="7200" w:leader="none"/>
        </w:tabs>
        <w:rPr/>
      </w:pPr>
      <w:r>
        <w:rPr/>
        <w:t>ERCOT revenue impact</w:t>
        <w:tab/>
        <w:t>$ 4,000</w:t>
      </w:r>
    </w:p>
    <w:p>
      <w:pPr>
        <w:pStyle w:val="Header"/>
        <w:tabs>
          <w:tab w:val="clear" w:pos="4320"/>
          <w:tab w:val="clear" w:pos="8640"/>
        </w:tabs>
        <w:rPr/>
      </w:pPr>
      <w:r>
        <w:rPr/>
      </w:r>
    </w:p>
    <w:p>
      <w:pPr>
        <w:pStyle w:val="Normal"/>
        <w:numPr>
          <w:ilvl w:val="0"/>
          <w:numId w:val="5"/>
        </w:numPr>
        <w:tabs>
          <w:tab w:val="clear" w:pos="720"/>
          <w:tab w:val="left" w:pos="390" w:leader="none"/>
        </w:tabs>
        <w:ind w:hanging="390" w:start="390" w:end="0"/>
        <w:rPr>
          <w:i/>
          <w:i/>
          <w:iCs/>
        </w:rPr>
      </w:pPr>
      <w:r>
        <w:rPr>
          <w:i/>
          <w:iCs/>
        </w:rPr>
        <w:t xml:space="preserve">The shift factor increases to 0.50. </w:t>
      </w:r>
    </w:p>
    <w:p>
      <w:pPr>
        <w:pStyle w:val="Header"/>
        <w:tabs>
          <w:tab w:val="clear" w:pos="4320"/>
          <w:tab w:val="clear" w:pos="8640"/>
        </w:tabs>
        <w:rPr>
          <w:i/>
          <w:i/>
          <w:iCs/>
        </w:rPr>
      </w:pPr>
      <w:r>
        <w:rPr>
          <w:i/>
          <w:iCs/>
        </w:rPr>
      </w:r>
    </w:p>
    <w:p>
      <w:pPr>
        <w:pStyle w:val="BodyTextIndent"/>
        <w:ind w:start="0" w:end="0"/>
        <w:rPr/>
      </w:pPr>
      <w:r>
        <w:rPr/>
        <w:t>The scheduled impact on the CSC is now:</w:t>
      </w:r>
    </w:p>
    <w:p>
      <w:pPr>
        <w:pStyle w:val="BodyTextIndent"/>
        <w:ind w:start="0" w:end="0"/>
        <w:rPr/>
      </w:pPr>
      <w:r>
        <w:rPr/>
      </w:r>
    </w:p>
    <w:p>
      <w:pPr>
        <w:pStyle w:val="BodyTextIndent"/>
        <w:ind w:start="0" w:end="0"/>
        <w:jc w:val="center"/>
        <w:rPr/>
      </w:pPr>
      <w:r>
        <w:rPr/>
        <w:t>0.50 * 3,000 MW = 1,500 MW.</w:t>
      </w:r>
    </w:p>
    <w:p>
      <w:pPr>
        <w:pStyle w:val="BodyTextIndent"/>
        <w:ind w:start="0" w:end="0"/>
        <w:rPr/>
      </w:pPr>
      <w:r>
        <w:rPr/>
      </w:r>
    </w:p>
    <w:p>
      <w:pPr>
        <w:pStyle w:val="BodyTextIndent"/>
        <w:ind w:start="0" w:end="0"/>
        <w:rPr/>
      </w:pPr>
      <w:r>
        <w:rPr/>
        <w:t>Therefore, 700 MW of balancing energy is needed.</w:t>
      </w:r>
    </w:p>
    <w:p>
      <w:pPr>
        <w:pStyle w:val="Normal"/>
        <w:rPr/>
      </w:pPr>
      <w:r>
        <w:rPr/>
      </w:r>
    </w:p>
    <w:p>
      <w:pPr>
        <w:pStyle w:val="Normal"/>
        <w:rPr/>
      </w:pPr>
      <w:r>
        <w:rPr/>
        <w:t>The Zone-A balancing energy price is: 3 $/MW.</w:t>
      </w:r>
    </w:p>
    <w:p>
      <w:pPr>
        <w:pStyle w:val="Normal"/>
        <w:rPr/>
      </w:pPr>
      <w:r>
        <w:rPr/>
        <w:t>The Zone-B balancing energy price is: 17 $/MW.</w:t>
      </w:r>
    </w:p>
    <w:p>
      <w:pPr>
        <w:pStyle w:val="Normal"/>
        <w:rPr/>
      </w:pPr>
      <w:r>
        <w:rPr/>
      </w:r>
    </w:p>
    <w:p>
      <w:pPr>
        <w:pStyle w:val="Normal"/>
        <w:rPr/>
      </w:pPr>
      <w:r>
        <w:rPr/>
        <w:t>The prices, charges, payments, and revenue impact are:</w:t>
      </w:r>
    </w:p>
    <w:p>
      <w:pPr>
        <w:pStyle w:val="Header"/>
        <w:tabs>
          <w:tab w:val="clear" w:pos="4320"/>
          <w:tab w:val="clear" w:pos="8640"/>
          <w:tab w:val="right" w:pos="6210" w:leader="none"/>
          <w:tab w:val="right" w:pos="7200" w:leader="none"/>
        </w:tabs>
        <w:rPr/>
      </w:pPr>
      <w:r>
        <w:rPr/>
      </w:r>
    </w:p>
    <w:p>
      <w:pPr>
        <w:pStyle w:val="Header"/>
        <w:tabs>
          <w:tab w:val="clear" w:pos="4320"/>
          <w:tab w:val="clear" w:pos="8640"/>
          <w:tab w:val="right" w:pos="6210" w:leader="none"/>
          <w:tab w:val="right" w:pos="7200" w:leader="none"/>
        </w:tabs>
        <w:rPr/>
      </w:pPr>
      <w:r>
        <w:rPr/>
        <w:t>shadow price</w:t>
        <w:tab/>
        <w:t>(17 $/MW – 3 $/MW) / 0.50  =</w:t>
        <w:tab/>
        <w:t>28 $/MW</w:t>
      </w:r>
    </w:p>
    <w:p>
      <w:pPr>
        <w:pStyle w:val="Header"/>
        <w:tabs>
          <w:tab w:val="clear" w:pos="4320"/>
          <w:tab w:val="clear" w:pos="8640"/>
          <w:tab w:val="right" w:pos="6210" w:leader="none"/>
          <w:tab w:val="right" w:pos="7200" w:leader="none"/>
        </w:tabs>
        <w:rPr/>
      </w:pPr>
      <w:r>
        <w:rPr/>
        <w:t>congestion charge</w:t>
        <w:tab/>
        <w:t>28 $/MW * 0.50 * 3,000MW  =</w:t>
        <w:tab/>
        <w:t>$42,000</w:t>
      </w:r>
    </w:p>
    <w:p>
      <w:pPr>
        <w:pStyle w:val="Normal"/>
        <w:tabs>
          <w:tab w:val="clear" w:pos="720"/>
          <w:tab w:val="right" w:pos="6210" w:leader="none"/>
          <w:tab w:val="right" w:pos="7200" w:leader="none"/>
        </w:tabs>
        <w:rPr/>
      </w:pPr>
      <w:r>
        <w:rPr/>
        <w:t>TCR payments</w:t>
        <w:tab/>
        <w:t>28 $/MW * 1,000 MW  =</w:t>
        <w:tab/>
      </w:r>
      <w:r>
        <w:rPr>
          <w:u w:val="single"/>
        </w:rPr>
        <w:t>$28,000</w:t>
      </w:r>
    </w:p>
    <w:p>
      <w:pPr>
        <w:pStyle w:val="Header"/>
        <w:tabs>
          <w:tab w:val="clear" w:pos="4320"/>
          <w:tab w:val="clear" w:pos="8640"/>
          <w:tab w:val="right" w:pos="7200" w:leader="none"/>
        </w:tabs>
        <w:rPr/>
      </w:pPr>
      <w:r>
        <w:rPr/>
        <w:t>ERCOT revenue impact</w:t>
        <w:tab/>
        <w:t>$ 14,000</w:t>
      </w:r>
    </w:p>
    <w:p>
      <w:pPr>
        <w:pStyle w:val="Normal"/>
        <w:rPr/>
      </w:pPr>
      <w:r>
        <w:rPr/>
      </w:r>
    </w:p>
    <w:p>
      <w:pPr>
        <w:pStyle w:val="Normal"/>
        <w:numPr>
          <w:ilvl w:val="0"/>
          <w:numId w:val="5"/>
        </w:numPr>
        <w:tabs>
          <w:tab w:val="clear" w:pos="720"/>
          <w:tab w:val="left" w:pos="390" w:leader="none"/>
        </w:tabs>
        <w:ind w:hanging="390" w:start="390" w:end="0"/>
        <w:rPr>
          <w:i/>
          <w:i/>
          <w:iCs/>
        </w:rPr>
      </w:pPr>
      <w:r>
        <w:rPr>
          <w:i/>
          <w:iCs/>
        </w:rPr>
        <w:t>The shift factor decreases to 0.333.</w:t>
      </w:r>
    </w:p>
    <w:p>
      <w:pPr>
        <w:pStyle w:val="Header"/>
        <w:tabs>
          <w:tab w:val="clear" w:pos="4320"/>
          <w:tab w:val="clear" w:pos="8640"/>
        </w:tabs>
        <w:rPr>
          <w:i/>
          <w:i/>
          <w:iCs/>
        </w:rPr>
      </w:pPr>
      <w:r>
        <w:rPr>
          <w:i/>
          <w:iCs/>
        </w:rPr>
      </w:r>
    </w:p>
    <w:p>
      <w:pPr>
        <w:pStyle w:val="BodyTextIndent"/>
        <w:ind w:start="0" w:end="0"/>
        <w:rPr/>
      </w:pPr>
      <w:r>
        <w:rPr/>
        <w:t>The scheduled impact on the CSC is now:</w:t>
      </w:r>
    </w:p>
    <w:p>
      <w:pPr>
        <w:pStyle w:val="BodyTextIndent"/>
        <w:ind w:start="0" w:end="0"/>
        <w:rPr/>
      </w:pPr>
      <w:r>
        <w:rPr/>
      </w:r>
    </w:p>
    <w:p>
      <w:pPr>
        <w:pStyle w:val="BodyTextIndent"/>
        <w:ind w:start="0" w:end="0"/>
        <w:jc w:val="center"/>
        <w:rPr/>
      </w:pPr>
      <w:r>
        <w:rPr/>
        <w:t>0.333 * 3,000 MW = 1,000 MW.</w:t>
      </w:r>
    </w:p>
    <w:p>
      <w:pPr>
        <w:pStyle w:val="BodyTextIndent"/>
        <w:ind w:start="0" w:end="0"/>
        <w:rPr/>
      </w:pPr>
      <w:r>
        <w:rPr/>
      </w:r>
    </w:p>
    <w:p>
      <w:pPr>
        <w:pStyle w:val="BodyTextIndent"/>
        <w:ind w:start="0" w:end="0"/>
        <w:rPr/>
      </w:pPr>
      <w:r>
        <w:rPr/>
        <w:t>Therefore, 200 MW of balancing energy is needed.</w:t>
      </w:r>
    </w:p>
    <w:p>
      <w:pPr>
        <w:pStyle w:val="Normal"/>
        <w:rPr/>
      </w:pPr>
      <w:r>
        <w:rPr/>
      </w:r>
    </w:p>
    <w:p>
      <w:pPr>
        <w:pStyle w:val="Normal"/>
        <w:rPr/>
      </w:pPr>
      <w:r>
        <w:rPr/>
        <w:t>The Zone-A balancing energy price is: 8 $/MW.</w:t>
      </w:r>
    </w:p>
    <w:p>
      <w:pPr>
        <w:pStyle w:val="Normal"/>
        <w:rPr/>
      </w:pPr>
      <w:r>
        <w:rPr/>
        <w:t>The Zone-B balancing energy price is: 12 $/MW.</w:t>
      </w:r>
    </w:p>
    <w:p>
      <w:pPr>
        <w:pStyle w:val="Normal"/>
        <w:rPr/>
      </w:pPr>
      <w:r>
        <w:rPr/>
      </w:r>
    </w:p>
    <w:p>
      <w:pPr>
        <w:pStyle w:val="Normal"/>
        <w:rPr/>
      </w:pPr>
      <w:r>
        <w:rPr/>
        <w:t>The prices, charges, payments, and revenue impact are:</w:t>
      </w:r>
    </w:p>
    <w:p>
      <w:pPr>
        <w:pStyle w:val="Header"/>
        <w:tabs>
          <w:tab w:val="clear" w:pos="4320"/>
          <w:tab w:val="clear" w:pos="8640"/>
          <w:tab w:val="right" w:pos="6210" w:leader="none"/>
          <w:tab w:val="right" w:pos="7200" w:leader="none"/>
        </w:tabs>
        <w:rPr/>
      </w:pPr>
      <w:r>
        <w:rPr/>
      </w:r>
    </w:p>
    <w:p>
      <w:pPr>
        <w:pStyle w:val="Header"/>
        <w:tabs>
          <w:tab w:val="clear" w:pos="4320"/>
          <w:tab w:val="clear" w:pos="8640"/>
          <w:tab w:val="right" w:pos="6210" w:leader="none"/>
          <w:tab w:val="right" w:pos="7200" w:leader="none"/>
        </w:tabs>
        <w:rPr/>
      </w:pPr>
      <w:r>
        <w:rPr/>
        <w:t>shadow price</w:t>
        <w:tab/>
        <w:t>(12 $/MW – 8 $/MW) / 0.333  =</w:t>
        <w:tab/>
        <w:t>12 $/MW</w:t>
      </w:r>
    </w:p>
    <w:p>
      <w:pPr>
        <w:pStyle w:val="Header"/>
        <w:tabs>
          <w:tab w:val="clear" w:pos="4320"/>
          <w:tab w:val="clear" w:pos="8640"/>
          <w:tab w:val="right" w:pos="6210" w:leader="none"/>
          <w:tab w:val="right" w:pos="7200" w:leader="none"/>
        </w:tabs>
        <w:rPr/>
      </w:pPr>
      <w:r>
        <w:rPr/>
        <w:t>congestion charge</w:t>
        <w:tab/>
        <w:t>12 $/MW * 0.333 * 3,000MW  =</w:t>
        <w:tab/>
        <w:t>$12,000</w:t>
      </w:r>
    </w:p>
    <w:p>
      <w:pPr>
        <w:pStyle w:val="Normal"/>
        <w:tabs>
          <w:tab w:val="clear" w:pos="720"/>
          <w:tab w:val="right" w:pos="6210" w:leader="none"/>
          <w:tab w:val="right" w:pos="7200" w:leader="none"/>
        </w:tabs>
        <w:rPr/>
      </w:pPr>
      <w:r>
        <w:rPr/>
        <w:t>TCR payments</w:t>
        <w:tab/>
        <w:t>12 $/MW * 1,000 MW  =</w:t>
        <w:tab/>
      </w:r>
      <w:r>
        <w:rPr>
          <w:u w:val="single"/>
        </w:rPr>
        <w:t>$12,000</w:t>
      </w:r>
    </w:p>
    <w:p>
      <w:pPr>
        <w:pStyle w:val="Header"/>
        <w:tabs>
          <w:tab w:val="clear" w:pos="4320"/>
          <w:tab w:val="clear" w:pos="8640"/>
          <w:tab w:val="right" w:pos="7200" w:leader="none"/>
        </w:tabs>
        <w:rPr/>
      </w:pPr>
      <w:r>
        <w:rPr/>
        <w:t>ERCOT revenue impact</w:t>
        <w:tab/>
        <w:t>$ 0</w:t>
      </w:r>
    </w:p>
    <w:p>
      <w:pPr>
        <w:pStyle w:val="Normal"/>
        <w:rPr/>
      </w:pPr>
      <w:r>
        <w:rPr/>
      </w:r>
    </w:p>
    <w:p>
      <w:pPr>
        <w:pStyle w:val="Normal"/>
        <w:rPr/>
      </w:pPr>
      <w:r>
        <w:rPr/>
        <w:t>Notice that in this case, ERCOT is revenue neutral.</w:t>
      </w:r>
    </w:p>
    <w:p>
      <w:pPr>
        <w:pStyle w:val="Normal"/>
        <w:rPr/>
      </w:pPr>
      <w:r>
        <w:rPr/>
      </w:r>
    </w:p>
    <w:p>
      <w:pPr>
        <w:pStyle w:val="Header"/>
        <w:tabs>
          <w:tab w:val="clear" w:pos="4320"/>
          <w:tab w:val="clear" w:pos="8640"/>
        </w:tabs>
        <w:rPr/>
      </w:pPr>
      <w:r>
        <w:rPr/>
      </w:r>
    </w:p>
    <w:p>
      <w:pPr>
        <w:pStyle w:val="Normal"/>
        <w:numPr>
          <w:ilvl w:val="0"/>
          <w:numId w:val="5"/>
        </w:numPr>
        <w:tabs>
          <w:tab w:val="clear" w:pos="720"/>
          <w:tab w:val="left" w:pos="390" w:leader="none"/>
        </w:tabs>
        <w:ind w:hanging="390" w:start="390" w:end="0"/>
        <w:rPr>
          <w:i/>
          <w:i/>
          <w:iCs/>
        </w:rPr>
      </w:pPr>
      <w:r>
        <w:rPr>
          <w:i/>
          <w:iCs/>
        </w:rPr>
        <w:t>The shift factor decreases to 0.30.</w:t>
      </w:r>
    </w:p>
    <w:p>
      <w:pPr>
        <w:pStyle w:val="Header"/>
        <w:tabs>
          <w:tab w:val="clear" w:pos="4320"/>
          <w:tab w:val="clear" w:pos="8640"/>
        </w:tabs>
        <w:rPr>
          <w:i/>
          <w:i/>
          <w:iCs/>
        </w:rPr>
      </w:pPr>
      <w:r>
        <w:rPr>
          <w:i/>
          <w:iCs/>
        </w:rPr>
      </w:r>
    </w:p>
    <w:p>
      <w:pPr>
        <w:pStyle w:val="BodyTextIndent"/>
        <w:ind w:start="0" w:end="0"/>
        <w:rPr/>
      </w:pPr>
      <w:r>
        <w:rPr/>
        <w:t>The scheduled impact on the CSC is now:</w:t>
      </w:r>
    </w:p>
    <w:p>
      <w:pPr>
        <w:pStyle w:val="BodyTextIndent"/>
        <w:ind w:start="0" w:end="0"/>
        <w:rPr/>
      </w:pPr>
      <w:r>
        <w:rPr/>
      </w:r>
    </w:p>
    <w:p>
      <w:pPr>
        <w:pStyle w:val="BodyTextIndent"/>
        <w:ind w:start="0" w:end="0"/>
        <w:jc w:val="center"/>
        <w:rPr/>
      </w:pPr>
      <w:r>
        <w:rPr/>
        <w:t>0.30 * 3,000 MW = 900 MW.</w:t>
      </w:r>
    </w:p>
    <w:p>
      <w:pPr>
        <w:pStyle w:val="BodyTextIndent"/>
        <w:ind w:start="0" w:end="0"/>
        <w:rPr/>
      </w:pPr>
      <w:r>
        <w:rPr/>
      </w:r>
    </w:p>
    <w:p>
      <w:pPr>
        <w:pStyle w:val="BodyTextIndent"/>
        <w:ind w:start="0" w:end="0"/>
        <w:rPr/>
      </w:pPr>
      <w:r>
        <w:rPr/>
        <w:t>Therefore, 100 MW of balancing energy is needed.</w:t>
      </w:r>
    </w:p>
    <w:p>
      <w:pPr>
        <w:pStyle w:val="Normal"/>
        <w:rPr/>
      </w:pPr>
      <w:r>
        <w:rPr/>
      </w:r>
    </w:p>
    <w:p>
      <w:pPr>
        <w:pStyle w:val="Normal"/>
        <w:rPr/>
      </w:pPr>
      <w:r>
        <w:rPr/>
        <w:t>The Zone-A balancing energy price is: 9 $/MW.</w:t>
      </w:r>
    </w:p>
    <w:p>
      <w:pPr>
        <w:pStyle w:val="Normal"/>
        <w:rPr/>
      </w:pPr>
      <w:r>
        <w:rPr/>
        <w:t>The Zone-B balancing energy price is: 11 $/MW.</w:t>
      </w:r>
    </w:p>
    <w:p>
      <w:pPr>
        <w:pStyle w:val="Normal"/>
        <w:rPr/>
      </w:pPr>
      <w:r>
        <w:rPr/>
      </w:r>
    </w:p>
    <w:p>
      <w:pPr>
        <w:pStyle w:val="Normal"/>
        <w:rPr/>
      </w:pPr>
      <w:r>
        <w:rPr/>
        <w:t>The prices, charges, payments, and revenue impact are:</w:t>
      </w:r>
    </w:p>
    <w:p>
      <w:pPr>
        <w:pStyle w:val="Header"/>
        <w:tabs>
          <w:tab w:val="clear" w:pos="4320"/>
          <w:tab w:val="clear" w:pos="8640"/>
          <w:tab w:val="right" w:pos="6210" w:leader="none"/>
          <w:tab w:val="right" w:pos="7200" w:leader="none"/>
        </w:tabs>
        <w:rPr/>
      </w:pPr>
      <w:r>
        <w:rPr/>
      </w:r>
    </w:p>
    <w:p>
      <w:pPr>
        <w:pStyle w:val="Header"/>
        <w:tabs>
          <w:tab w:val="clear" w:pos="4320"/>
          <w:tab w:val="clear" w:pos="8640"/>
          <w:tab w:val="right" w:pos="6030" w:leader="none"/>
          <w:tab w:val="right" w:pos="7200" w:leader="none"/>
        </w:tabs>
        <w:rPr/>
      </w:pPr>
      <w:r>
        <w:rPr/>
        <w:t>shadow price</w:t>
        <w:tab/>
        <w:t>(11 $/MW – 9 $/MW) / 0.30  =</w:t>
        <w:tab/>
        <w:t>6.67 $/MW</w:t>
      </w:r>
    </w:p>
    <w:p>
      <w:pPr>
        <w:pStyle w:val="Header"/>
        <w:tabs>
          <w:tab w:val="clear" w:pos="4320"/>
          <w:tab w:val="clear" w:pos="8640"/>
          <w:tab w:val="right" w:pos="6030" w:leader="none"/>
          <w:tab w:val="right" w:pos="7200" w:leader="none"/>
        </w:tabs>
        <w:rPr/>
      </w:pPr>
      <w:r>
        <w:rPr/>
        <w:t>congestion charge</w:t>
        <w:tab/>
        <w:t>6.67 $/MW * 0.30 * 3,000MW  =</w:t>
        <w:tab/>
        <w:t>$6,000</w:t>
      </w:r>
    </w:p>
    <w:p>
      <w:pPr>
        <w:pStyle w:val="Normal"/>
        <w:tabs>
          <w:tab w:val="clear" w:pos="720"/>
          <w:tab w:val="right" w:pos="6030" w:leader="none"/>
          <w:tab w:val="right" w:pos="7200" w:leader="none"/>
        </w:tabs>
        <w:rPr/>
      </w:pPr>
      <w:r>
        <w:rPr/>
        <w:t>TCR payments</w:t>
        <w:tab/>
        <w:t>6.67 $/MW * 1,000 MW  =</w:t>
        <w:tab/>
      </w:r>
      <w:r>
        <w:rPr>
          <w:u w:val="single"/>
        </w:rPr>
        <w:t>$6,667</w:t>
      </w:r>
    </w:p>
    <w:p>
      <w:pPr>
        <w:pStyle w:val="Header"/>
        <w:tabs>
          <w:tab w:val="clear" w:pos="4320"/>
          <w:tab w:val="clear" w:pos="8640"/>
          <w:tab w:val="right" w:pos="7200" w:leader="none"/>
        </w:tabs>
        <w:rPr/>
      </w:pPr>
      <w:r>
        <w:rPr/>
        <w:t>ERCOT revenue impact</w:t>
        <w:tab/>
        <w:t xml:space="preserve"> $ –667</w:t>
      </w:r>
    </w:p>
    <w:p>
      <w:pPr>
        <w:pStyle w:val="BodyTextIndent"/>
        <w:ind w:start="0" w:end="0"/>
        <w:rPr/>
      </w:pPr>
      <w:r>
        <w:rPr/>
      </w:r>
    </w:p>
    <w:p>
      <w:pPr>
        <w:pStyle w:val="BodyTextIndent"/>
        <w:ind w:start="0" w:end="0"/>
        <w:rPr/>
      </w:pPr>
      <w:r>
        <w:rPr/>
      </w:r>
    </w:p>
    <w:p>
      <w:pPr>
        <w:pStyle w:val="Heading2"/>
        <w:ind w:hanging="0" w:start="0"/>
        <w:rPr/>
      </w:pPr>
      <w:r>
        <w:rPr/>
        <w:t>Example Discussion</w:t>
      </w:r>
    </w:p>
    <w:p>
      <w:pPr>
        <w:pStyle w:val="Normal"/>
        <w:rPr/>
      </w:pPr>
      <w:r>
        <w:rPr/>
      </w:r>
    </w:p>
    <w:p>
      <w:pPr>
        <w:pStyle w:val="Normal"/>
        <w:rPr/>
      </w:pPr>
      <w:r>
        <w:rPr/>
        <w:t>Examination of the examples above reveals some important conclusions:</w:t>
      </w:r>
    </w:p>
    <w:p>
      <w:pPr>
        <w:pStyle w:val="Normal"/>
        <w:rPr/>
      </w:pPr>
      <w:r>
        <w:rPr/>
      </w:r>
    </w:p>
    <w:p>
      <w:pPr>
        <w:pStyle w:val="Normal"/>
        <w:numPr>
          <w:ilvl w:val="0"/>
          <w:numId w:val="2"/>
        </w:numPr>
        <w:rPr/>
      </w:pPr>
      <w:r>
        <w:rPr/>
        <w:t>Reduction in flow capability does not always result in revenue inadequacy.</w:t>
      </w:r>
    </w:p>
    <w:p>
      <w:pPr>
        <w:pStyle w:val="Normal"/>
        <w:numPr>
          <w:ilvl w:val="0"/>
          <w:numId w:val="2"/>
        </w:numPr>
        <w:rPr/>
      </w:pPr>
      <w:r>
        <w:rPr/>
        <w:t>There are situations when revenue is in surplus.</w:t>
      </w:r>
    </w:p>
    <w:p>
      <w:pPr>
        <w:pStyle w:val="Normal"/>
        <w:numPr>
          <w:ilvl w:val="0"/>
          <w:numId w:val="2"/>
        </w:numPr>
        <w:rPr/>
      </w:pPr>
      <w:r>
        <w:rPr/>
        <w:t>The normal case with congestion yields a revenue surplus</w:t>
      </w:r>
    </w:p>
    <w:p>
      <w:pPr>
        <w:pStyle w:val="Normal"/>
        <w:rPr/>
      </w:pPr>
      <w:r>
        <w:rPr/>
      </w:r>
    </w:p>
    <w:p>
      <w:pPr>
        <w:pStyle w:val="Normal"/>
        <w:rPr/>
      </w:pPr>
      <w:r>
        <w:rPr/>
        <w:t>Closer study of the situation gives the following equation for the calculation of the ERCOT revenue impact:</w:t>
      </w:r>
    </w:p>
    <w:p>
      <w:pPr>
        <w:pStyle w:val="Normal"/>
        <w:rPr/>
      </w:pPr>
      <w:r>
        <w:rPr/>
      </w:r>
    </w:p>
    <w:p>
      <w:pPr>
        <w:pStyle w:val="Normal"/>
        <w:ind w:firstLine="720" w:end="0"/>
        <w:rPr/>
      </w:pPr>
      <w:r>
        <w:rPr/>
        <w:t>Revenue Impact  =  SP * ((SF * Schedule) – TCR)</w:t>
      </w:r>
    </w:p>
    <w:p>
      <w:pPr>
        <w:pStyle w:val="Normal"/>
        <w:rPr/>
      </w:pPr>
      <w:r>
        <w:rPr/>
        <w:t xml:space="preserve"> </w:t>
      </w:r>
    </w:p>
    <w:p>
      <w:pPr>
        <w:pStyle w:val="Normal"/>
        <w:rPr/>
      </w:pPr>
      <w:r>
        <w:rPr/>
        <w:t>where</w:t>
      </w:r>
    </w:p>
    <w:p>
      <w:pPr>
        <w:pStyle w:val="Normal"/>
        <w:rPr/>
      </w:pPr>
      <w:r>
        <w:rPr/>
      </w:r>
    </w:p>
    <w:p>
      <w:pPr>
        <w:pStyle w:val="Header"/>
        <w:tabs>
          <w:tab w:val="clear" w:pos="4320"/>
          <w:tab w:val="clear" w:pos="8640"/>
          <w:tab w:val="left" w:pos="720" w:leader="none"/>
          <w:tab w:val="left" w:pos="1800" w:leader="none"/>
        </w:tabs>
        <w:rPr/>
      </w:pPr>
      <w:r>
        <w:rPr/>
        <w:tab/>
        <w:t>SP</w:t>
        <w:tab/>
        <w:t>=  the shadow price on the CSC</w:t>
      </w:r>
    </w:p>
    <w:p>
      <w:pPr>
        <w:pStyle w:val="Normal"/>
        <w:tabs>
          <w:tab w:val="left" w:pos="720" w:leader="none"/>
          <w:tab w:val="left" w:pos="1800" w:leader="none"/>
        </w:tabs>
        <w:rPr/>
      </w:pPr>
      <w:r>
        <w:rPr/>
        <w:tab/>
        <w:t>SF</w:t>
        <w:tab/>
        <w:t>=  the CSC shift factor</w:t>
      </w:r>
    </w:p>
    <w:p>
      <w:pPr>
        <w:pStyle w:val="Normal"/>
        <w:tabs>
          <w:tab w:val="left" w:pos="720" w:leader="none"/>
          <w:tab w:val="left" w:pos="1800" w:leader="none"/>
        </w:tabs>
        <w:rPr/>
      </w:pPr>
      <w:r>
        <w:rPr/>
        <w:tab/>
        <w:t>Schedule</w:t>
        <w:tab/>
        <w:t>=  the zonal schedule</w:t>
      </w:r>
    </w:p>
    <w:p>
      <w:pPr>
        <w:pStyle w:val="Normal"/>
        <w:tabs>
          <w:tab w:val="left" w:pos="720" w:leader="none"/>
          <w:tab w:val="left" w:pos="1800" w:leader="none"/>
        </w:tabs>
        <w:rPr/>
      </w:pPr>
      <w:r>
        <w:rPr/>
        <w:tab/>
        <w:t>TCR</w:t>
        <w:tab/>
        <w:t>=  the total number of TCRs outstanding</w:t>
      </w:r>
    </w:p>
    <w:p>
      <w:pPr>
        <w:pStyle w:val="Normal"/>
        <w:rPr/>
      </w:pPr>
      <w:r>
        <w:rPr/>
      </w:r>
    </w:p>
    <w:p>
      <w:pPr>
        <w:pStyle w:val="Normal"/>
        <w:rPr/>
      </w:pPr>
      <w:r>
        <w:rPr/>
        <w:t>The equation show the relationships that affect revenue state.  This is summarized below:</w:t>
      </w:r>
    </w:p>
    <w:p>
      <w:pPr>
        <w:pStyle w:val="Normal"/>
        <w:rPr/>
      </w:pPr>
      <w:r>
        <w:rPr/>
      </w:r>
    </w:p>
    <w:p>
      <w:pPr>
        <w:pStyle w:val="Normal"/>
        <w:ind w:firstLine="720" w:end="0"/>
        <w:rPr/>
      </w:pPr>
      <w:r>
        <w:rPr/>
        <w:t>If  (Schedule * SF) &gt; TCR, then net revenue impact is positive.</w:t>
      </w:r>
    </w:p>
    <w:p>
      <w:pPr>
        <w:pStyle w:val="Normal"/>
        <w:ind w:firstLine="720" w:end="0"/>
        <w:rPr/>
      </w:pPr>
      <w:r>
        <w:rPr/>
        <w:t>If  (Schedule * SF) = TCR, then net revenue impact is neutral.</w:t>
      </w:r>
    </w:p>
    <w:p>
      <w:pPr>
        <w:pStyle w:val="Normal"/>
        <w:ind w:firstLine="720" w:end="0"/>
        <w:rPr/>
      </w:pPr>
      <w:r>
        <w:rPr/>
        <w:t>If  (Schedule * SF) &lt; TCR, then net revenue impact is negative.</w:t>
      </w:r>
    </w:p>
    <w:p>
      <w:pPr>
        <w:pStyle w:val="Normal"/>
        <w:ind w:firstLine="720" w:end="0"/>
        <w:rPr/>
      </w:pPr>
      <w:r>
        <w:rPr/>
      </w:r>
    </w:p>
    <w:p>
      <w:pPr>
        <w:pStyle w:val="Normal"/>
        <w:ind w:firstLine="720" w:end="0"/>
        <w:rPr/>
      </w:pPr>
      <w:r>
        <w:rPr/>
      </w:r>
    </w:p>
    <w:p>
      <w:pPr>
        <w:pStyle w:val="Heading1"/>
        <w:ind w:hanging="0" w:start="0"/>
        <w:rPr/>
      </w:pPr>
      <w:r>
        <w:rPr/>
        <w:t>The Argument Against TCR Derating</w:t>
      </w:r>
    </w:p>
    <w:p>
      <w:pPr>
        <w:pStyle w:val="Normal"/>
        <w:rPr/>
      </w:pPr>
      <w:r>
        <w:rPr/>
      </w:r>
    </w:p>
    <w:p>
      <w:pPr>
        <w:pStyle w:val="Normal"/>
        <w:rPr/>
      </w:pPr>
      <w:r>
        <w:rPr/>
        <w:t>As seen in the examples, there are situations when ERCOT will have a revenue surplus.  In fact, whenever the scheduled impact exceeds the total outstanding TCRs, ERCOT will have a surplus.  Revenue inadequacy occurs when the scheduled impact falls below the total outstanding TCRs, and this does not happen unless there is a reduction in the CSC limit AND a reduction in the CSC shift factor great enough to cause the scheduled impact to decline far enough to be below the outstanding TCRs yet not enough to be below the CSC limit.</w:t>
      </w:r>
    </w:p>
    <w:p>
      <w:pPr>
        <w:pStyle w:val="Normal"/>
        <w:rPr/>
      </w:pPr>
      <w:r>
        <w:rPr/>
      </w:r>
    </w:p>
    <w:p>
      <w:pPr>
        <w:pStyle w:val="Normal"/>
        <w:rPr/>
      </w:pPr>
      <w:r>
        <w:rPr/>
        <w:t>This situation is vastly different from the PJM market, where any reduction in the flow capability can trigger revenue shortfalls.  The difference is that ERCOT charges congestion on the schedules, and schedules do not get cut for transmission.</w:t>
      </w:r>
    </w:p>
    <w:p>
      <w:pPr>
        <w:pStyle w:val="Normal"/>
        <w:rPr/>
      </w:pPr>
      <w:r>
        <w:rPr/>
      </w:r>
    </w:p>
    <w:p>
      <w:pPr>
        <w:pStyle w:val="Normal"/>
        <w:rPr/>
      </w:pPr>
      <w:r>
        <w:rPr/>
        <w:t>Should the unfortunate event occur that the CSC capability is reduced and the shift factor declines so that the scheduled impact is less than the outstanding TCRs (and the scheduled flow is in excess of the CSC capability), ERCOT will experience a shortfall.  However, in all other situations, ERCOT will have a surplus.  Naturally, these surpluses should be used to offset any shortfalls.</w:t>
      </w:r>
    </w:p>
    <w:p>
      <w:pPr>
        <w:pStyle w:val="Normal"/>
        <w:rPr/>
      </w:pPr>
      <w:r>
        <w:rPr/>
      </w:r>
    </w:p>
    <w:p>
      <w:pPr>
        <w:pStyle w:val="Normal"/>
        <w:rPr/>
      </w:pPr>
      <w:r>
        <w:rPr/>
        <w:t>Over time, the occasional shortfall will be offset by the typical surpluses.  It would be a rare instance for ERCOT to experience sufficient shortfalls to overtake the normal surpluses and cause a net shortfall.  Even in this case, TCR auction revenues should be used to make up the deficit, since ultimately TCRs were acquired via those auctions.</w:t>
      </w:r>
    </w:p>
    <w:p>
      <w:pPr>
        <w:pStyle w:val="Normal"/>
        <w:rPr/>
      </w:pPr>
      <w:r>
        <w:rPr/>
      </w:r>
    </w:p>
    <w:p>
      <w:pPr>
        <w:pStyle w:val="Normal"/>
        <w:rPr/>
      </w:pPr>
      <w:r>
        <w:rPr/>
        <w:t>It is already unlikely that ERCOT experiences a significant shortfall in any short period, and unlikelier still that ERCOT face a shortfall over time.  The auction revenues provide yet another buffer against an overall revenue deficit.  In the remote situation that even after all of the previous safeguards fail, the question remains: who should make up the revenue inadequacy?</w:t>
      </w:r>
    </w:p>
    <w:p>
      <w:pPr>
        <w:pStyle w:val="Normal"/>
        <w:rPr/>
      </w:pPr>
      <w:r>
        <w:rPr/>
      </w:r>
    </w:p>
    <w:p>
      <w:pPr>
        <w:pStyle w:val="Normal"/>
        <w:rPr/>
      </w:pPr>
      <w:r>
        <w:rPr/>
        <w:t>Derating a TCR is to say that TCR holders should make up the revenue inadequacy, since in essence, the holder would pay themselves the shortfall.  This is not appropriate.  In addition to eroding the hedge effectiveness of TCRs, derating creates inequities.</w:t>
      </w:r>
    </w:p>
    <w:p>
      <w:pPr>
        <w:pStyle w:val="Normal"/>
        <w:rPr/>
      </w:pPr>
      <w:r>
        <w:rPr/>
      </w:r>
    </w:p>
    <w:p>
      <w:pPr>
        <w:pStyle w:val="Normal"/>
        <w:rPr/>
      </w:pPr>
      <w:r>
        <w:rPr/>
        <w:t>The party that receives the overall surplus, including TCR auction revenues, should be the party to cover any revenue inadequacy.  If not, then derating can become a tool to transfer wealth from TCR holder to the party that receives the surplus and auction revenues.  Derating leaves TCR owners left holding the bag while letting others keep what was originally paid.  Since ERCOT controls the derating decision, ERCOT would be exposed to liability and great scrutiny.  Each time they decide on a derating, they take money from the TCR holders and give it to the auction revenue recipients.</w:t>
      </w:r>
    </w:p>
    <w:p>
      <w:pPr>
        <w:pStyle w:val="Normal"/>
        <w:rPr/>
      </w:pPr>
      <w:r>
        <w:rPr/>
      </w:r>
    </w:p>
    <w:p>
      <w:pPr>
        <w:pStyle w:val="Normal"/>
        <w:rPr/>
      </w:pPr>
      <w:r>
        <w:rPr/>
        <w:t>The only way to avoid the potential conflict of interest and related complications is to make the recipient of surplus and auction revenues the same party that must make up for the rare shortfall.  This can only be done by not allowing derating.</w:t>
      </w:r>
    </w:p>
    <w:sectPr>
      <w:headerReference w:type="default" r:id="rId3"/>
      <w:footerReference w:type="default" r:id="rId4"/>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t>Martin Lin</w:t>
      <w:tab/>
      <w:tab/>
      <w:t>Lance Cunningham</w:t>
    </w:r>
  </w:p>
  <w:p>
    <w:pPr>
      <w:pStyle w:val="Footer"/>
      <w:rPr>
        <w:sz w:val="20"/>
      </w:rPr>
    </w:pPr>
    <w:r>
      <w:rPr>
        <w:sz w:val="20"/>
      </w:rPr>
      <w:t>Martin.Lin@Enron.com</w:t>
      <w:tab/>
      <w:t>Analysis of TCR Derating</w:t>
      <w:tab/>
      <w:t>Lance.Cunningham@enron.com</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upperLetter"/>
      <w:lvlText w:val="(%1)"/>
      <w:lvlJc w:val="start"/>
      <w:pPr>
        <w:tabs>
          <w:tab w:val="num" w:pos="750"/>
        </w:tabs>
        <w:ind w:start="750" w:hanging="39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i/>
      <w:iCs/>
    </w:rPr>
  </w:style>
  <w:style w:type="paragraph" w:styleId="Heading3">
    <w:name w:val="heading 3"/>
    <w:basedOn w:val="Normal"/>
    <w:next w:val="Normal"/>
    <w:qFormat/>
    <w:pPr>
      <w:keepNext w:val="true"/>
      <w:numPr>
        <w:ilvl w:val="2"/>
        <w:numId w:val="1"/>
      </w:numPr>
      <w:outlineLvl w:val="2"/>
    </w:pPr>
    <w:rPr>
      <w:sz w:val="28"/>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5z0">
    <w:name w:val="WW8Num5z0"/>
    <w:qFormat/>
    <w:rPr>
      <w:sz w:val="24"/>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jc w:val="center"/>
    </w:pPr>
    <w:rPr>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36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2001-10-24T19:17:00Z</dcterms:created>
  <dc:creator>lcunnin2</dc:creator>
  <dc:description/>
  <dc:language>en-CA</dc:language>
  <cp:lastModifiedBy>lcunnin2</cp:lastModifiedBy>
  <cp:lastPrinted>2001-10-25T10:01:00Z</cp:lastPrinted>
  <dcterms:modified xsi:type="dcterms:W3CDTF">2001-10-25T12:50:00Z</dcterms:modified>
  <cp:revision>16</cp:revision>
  <dc:subject/>
  <dc:title>TCR Revenue Adequacy Example</dc:title>
</cp:coreProperties>
</file>