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er"/>
        <w:tabs>
          <w:tab w:val="clear" w:pos="4320"/>
          <w:tab w:val="clear" w:pos="8640"/>
          <w:tab w:val="left" w:pos="540" w:leader="none"/>
        </w:tabs>
        <w:rPr/>
      </w:pPr>
      <w:r>
        <w:rPr/>
        <w:drawing>
          <wp:inline distT="0" distB="0" distL="0" distR="0">
            <wp:extent cx="1015365" cy="10090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15365" cy="1009015"/>
                    </a:xfrm>
                    <a:prstGeom prst="rect">
                      <a:avLst/>
                    </a:prstGeom>
                    <a:noFill/>
                  </pic:spPr>
                </pic:pic>
              </a:graphicData>
            </a:graphic>
          </wp:inline>
        </w:drawing>
      </w:r>
    </w:p>
    <w:p>
      <w:pPr>
        <w:pStyle w:val="Normal"/>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Rob Milnthorp, Eric Le dain, John Mckay</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p>
            <w:pPr>
              <w:pStyle w:val="Normal"/>
              <w:ind w:start="-180" w:end="0"/>
              <w:rPr>
                <w:sz w:val="18"/>
              </w:rPr>
            </w:pPr>
            <w:r>
              <w:rPr>
                <w:sz w:val="18"/>
              </w:rPr>
            </w:r>
          </w:p>
        </w:tc>
        <w:tc>
          <w:tcPr>
            <w:tcW w:w="2965" w:type="dxa"/>
            <w:tcBorders/>
          </w:tcPr>
          <w:p>
            <w:pPr>
              <w:pStyle w:val="Normal"/>
              <w:snapToGrid w:val="false"/>
              <w:rPr>
                <w:sz w:val="18"/>
              </w:rPr>
            </w:pPr>
            <w:r>
              <w:rPr>
                <w:sz w:val="18"/>
              </w:rPr>
            </w:r>
          </w:p>
          <w:p>
            <w:pPr>
              <w:pStyle w:val="Normal"/>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Fino Tiberi</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0" w:name="From"/>
            <w:bookmarkEnd w:id="0"/>
            <w:r>
              <w:rPr/>
              <w:t>Government Affairs</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TransCanada PipeLines Limited</w:t>
            </w:r>
          </w:p>
          <w:p>
            <w:pPr>
              <w:pStyle w:val="Subject"/>
              <w:rPr/>
            </w:pPr>
            <w:r>
              <w:rPr/>
              <w:t>2001 and 2002 Tolls and Tariff Application</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t>July 3, 2001</w:t>
            </w:r>
          </w:p>
        </w:tc>
      </w:tr>
    </w:tbl>
    <w:p>
      <w:pPr>
        <w:pStyle w:val="Body"/>
        <w:rPr/>
      </w:pPr>
      <w:r>
        <w:rPr/>
      </w:r>
      <w:bookmarkStart w:id="1" w:name="StartOfMemo"/>
      <w:bookmarkStart w:id="2" w:name="StartOfMemo"/>
      <w:bookmarkEnd w:id="2"/>
    </w:p>
    <w:p>
      <w:pPr>
        <w:pStyle w:val="Body"/>
        <w:rPr/>
      </w:pPr>
      <w:r>
        <w:rPr/>
        <w:t>On May 3, 2001 TransCanada PipeLines Limited (TCPL) applied to the National Energy Board (NEB) for approval of its Mainline Service and Pricing Settlement and the implementation of the provisions of the settlement in TCPL’s tolls and tariff for 2001.  The NEB invited comments from interested parties on issues related to the application. After reviewing the comments, the NEB ruled the settlement did not meet the NEB’s requirements regarding negotiated settlements and decided to convene an oral hearing to consider the application.</w:t>
      </w:r>
    </w:p>
    <w:p>
      <w:pPr>
        <w:pStyle w:val="Body"/>
        <w:rPr/>
      </w:pPr>
      <w:r>
        <w:rPr/>
      </w:r>
    </w:p>
    <w:p>
      <w:pPr>
        <w:pStyle w:val="Body"/>
        <w:rPr/>
      </w:pPr>
      <w:r>
        <w:rPr/>
        <w:t xml:space="preserve">The NEB has established a preliminary list of issues that it intends to consider in the hearing process.  I have provided a brief summary of each issue and its relevance to Enron, as a long haul, long-term firm shipper, in an effort to provide you with some information upon which you can help me assess the appropriate level of participation that Enron Canada should have in this application.  </w:t>
      </w:r>
    </w:p>
    <w:p>
      <w:pPr>
        <w:pStyle w:val="Body"/>
        <w:rPr/>
      </w:pPr>
      <w:r>
        <w:rPr/>
      </w:r>
    </w:p>
    <w:p>
      <w:pPr>
        <w:pStyle w:val="Body"/>
        <w:rPr>
          <w:u w:val="single"/>
        </w:rPr>
      </w:pPr>
      <w:r>
        <w:rPr>
          <w:u w:val="single"/>
        </w:rPr>
        <w:t>Sharing of risk associated with contract non-renewals.</w:t>
      </w:r>
    </w:p>
    <w:p>
      <w:pPr>
        <w:pStyle w:val="Body"/>
        <w:rPr>
          <w:u w:val="single"/>
        </w:rPr>
      </w:pPr>
      <w:r>
        <w:rPr>
          <w:u w:val="single"/>
        </w:rPr>
      </w:r>
    </w:p>
    <w:p>
      <w:pPr>
        <w:pStyle w:val="Body"/>
        <w:rPr/>
      </w:pPr>
      <w:r>
        <w:rPr/>
        <w:t xml:space="preserve">The Settlement did not address the contract non-renewal issue; consequently for 2001 and 2002 the remaining shippers on the TCPL system are solely responsible for the risk associated with contract non-renewal. A number of parties, most notably PG&amp;E Energy Trading, Canada Corporation encouraged the NEB to deal with this issue, including a mechanism of allocating the risk sharing among TCPL, departing shippers and the remaining shipper.  </w:t>
      </w:r>
      <w:r>
        <w:rPr>
          <w:b/>
          <w:bCs/>
          <w:i/>
          <w:iCs/>
        </w:rPr>
        <w:t xml:space="preserve">Enron, as a firm shipper would benefit from a mechanism that would see TCPL and / or departing shippers bear a portion of the risk of contract non-renewal for it would shelter remaining firm shippers such as Enron from the full impact of rising FT Tolls resulting from contract non-renewals. </w:t>
      </w:r>
    </w:p>
    <w:p>
      <w:pPr>
        <w:pStyle w:val="Body"/>
        <w:rPr>
          <w:b/>
          <w:bCs/>
          <w:i/>
          <w:i/>
          <w:iCs/>
        </w:rPr>
      </w:pPr>
      <w:r>
        <w:rPr>
          <w:b/>
          <w:bCs/>
          <w:i/>
          <w:iCs/>
        </w:rPr>
      </w:r>
    </w:p>
    <w:p>
      <w:pPr>
        <w:pStyle w:val="Body"/>
        <w:rPr>
          <w:u w:val="single"/>
        </w:rPr>
      </w:pPr>
      <w:r>
        <w:rPr>
          <w:u w:val="single"/>
        </w:rPr>
        <w:t>Proposed New Services</w:t>
      </w:r>
    </w:p>
    <w:p>
      <w:pPr>
        <w:pStyle w:val="Body"/>
        <w:rPr>
          <w:u w:val="single"/>
        </w:rPr>
      </w:pPr>
      <w:r>
        <w:rPr>
          <w:u w:val="single"/>
        </w:rPr>
      </w:r>
    </w:p>
    <w:p>
      <w:pPr>
        <w:pStyle w:val="Body"/>
        <w:rPr/>
      </w:pPr>
      <w:r>
        <w:rPr/>
        <w:t xml:space="preserve">The settlement provides for enhancements to FT service, i.e. introduction of an FT Make-up Credit whereby a shipper’s aggregate unutilized FT capacity rights in each month are credited towards its aggregate IT service invoice for the same month. </w:t>
      </w:r>
      <w:r>
        <w:rPr>
          <w:b/>
          <w:bCs/>
          <w:i/>
          <w:iCs/>
        </w:rPr>
        <w:t>Enron would benefit from this enhancement to the extent it was not utilizing its FT contracts at a 100% load factor every day during the month and was flowing gas under IT contracts in the same month.</w:t>
      </w:r>
    </w:p>
    <w:p>
      <w:pPr>
        <w:pStyle w:val="Body"/>
        <w:rPr>
          <w:b/>
          <w:bCs/>
          <w:i/>
          <w:i/>
          <w:iCs/>
        </w:rPr>
      </w:pPr>
      <w:r>
        <w:rPr>
          <w:b/>
          <w:bCs/>
          <w:i/>
          <w:iCs/>
        </w:rPr>
      </w:r>
    </w:p>
    <w:p>
      <w:pPr>
        <w:pStyle w:val="Body"/>
        <w:rPr>
          <w:u w:val="single"/>
        </w:rPr>
      </w:pPr>
      <w:r>
        <w:rPr>
          <w:u w:val="single"/>
        </w:rPr>
        <w:t>Incentive Mechanisms</w:t>
      </w:r>
    </w:p>
    <w:p>
      <w:pPr>
        <w:pStyle w:val="Body"/>
        <w:rPr>
          <w:u w:val="single"/>
        </w:rPr>
      </w:pPr>
      <w:r>
        <w:rPr>
          <w:u w:val="single"/>
        </w:rPr>
      </w:r>
    </w:p>
    <w:p>
      <w:pPr>
        <w:pStyle w:val="Body"/>
        <w:rPr/>
      </w:pPr>
      <w:r>
        <w:rPr/>
        <w:t xml:space="preserve">The settlement contained a number of programs incenting TCPL to reduce costs and sharing the benefits between TCPL and its shippers. Newly introduced programs include a severance program (to reduce salaries expense), revenue/assets management program (to reduce costs associated with Transmission by Others assets and FST replacement Assets) and Fuel Gas and Power Incentive Program (to reduce compressors’ fuel gas and power costs). All of these programs will entail a trade-off between cost savings and level of service.  </w:t>
      </w:r>
      <w:r>
        <w:rPr>
          <w:b/>
          <w:bCs/>
          <w:i/>
          <w:iCs/>
        </w:rPr>
        <w:t>The issue would be whether the incentive programs provide the correct signal to TCPL to operate their system in a cost-effective and reliable manner. For example, in the absence of a Fuel Gas and Power Incentive program, TCPL will not incur operating and maintenance (O&amp;M) expenses that would cause TCPL to exceed their 2001 spending cap on O&amp;M expenses.  Consequently fuel gas rates are likely to increase as high-energy efficient compressor units are down for longer periods for routine maintenance and more energy inefficient units are utilized in their place.</w:t>
      </w:r>
    </w:p>
    <w:p>
      <w:pPr>
        <w:pStyle w:val="Body"/>
        <w:rPr>
          <w:b/>
          <w:bCs/>
          <w:i/>
          <w:i/>
          <w:iCs/>
        </w:rPr>
      </w:pPr>
      <w:r>
        <w:rPr>
          <w:b/>
          <w:bCs/>
          <w:i/>
          <w:iCs/>
        </w:rPr>
      </w:r>
    </w:p>
    <w:p>
      <w:pPr>
        <w:pStyle w:val="Body"/>
        <w:rPr>
          <w:u w:val="single"/>
        </w:rPr>
      </w:pPr>
      <w:r>
        <w:rPr>
          <w:u w:val="single"/>
        </w:rPr>
      </w:r>
    </w:p>
    <w:p>
      <w:pPr>
        <w:pStyle w:val="Body"/>
        <w:rPr>
          <w:u w:val="single"/>
        </w:rPr>
      </w:pPr>
      <w:r>
        <w:rPr>
          <w:u w:val="single"/>
        </w:rPr>
      </w:r>
    </w:p>
    <w:p>
      <w:pPr>
        <w:pStyle w:val="Body"/>
        <w:rPr>
          <w:u w:val="single"/>
        </w:rPr>
      </w:pPr>
      <w:r>
        <w:rPr>
          <w:u w:val="single"/>
        </w:rPr>
      </w:r>
    </w:p>
    <w:p>
      <w:pPr>
        <w:pStyle w:val="Body"/>
        <w:rPr>
          <w:u w:val="single"/>
        </w:rPr>
      </w:pPr>
      <w:r>
        <w:rPr>
          <w:u w:val="single"/>
        </w:rPr>
      </w:r>
    </w:p>
    <w:p>
      <w:pPr>
        <w:pStyle w:val="Body"/>
        <w:rPr>
          <w:u w:val="single"/>
        </w:rPr>
      </w:pPr>
      <w:r>
        <w:rPr>
          <w:u w:val="single"/>
        </w:rPr>
      </w:r>
    </w:p>
    <w:p>
      <w:pPr>
        <w:pStyle w:val="Body"/>
        <w:rPr>
          <w:u w:val="single"/>
        </w:rPr>
      </w:pPr>
      <w:r>
        <w:rPr>
          <w:u w:val="single"/>
        </w:rPr>
        <w:t>Pricing of Interruptible Transportation services</w:t>
      </w:r>
    </w:p>
    <w:p>
      <w:pPr>
        <w:pStyle w:val="Body"/>
        <w:rPr>
          <w:u w:val="single"/>
        </w:rPr>
      </w:pPr>
      <w:r>
        <w:rPr>
          <w:u w:val="single"/>
        </w:rPr>
      </w:r>
    </w:p>
    <w:p>
      <w:pPr>
        <w:pStyle w:val="Body"/>
        <w:ind w:start="0" w:end="0"/>
        <w:rPr/>
      </w:pPr>
      <w:r>
        <w:rPr/>
        <w:t xml:space="preserve">The settlement sets out a formula for determining the monthly floor price for interruptible service that takes into consideration incremental marginal fuel costs, TCPL long-haul commodity charges and a contribution to fixed costs (calculated as being 4% of the appropriate daily equivalent FT Demand Toll). </w:t>
      </w:r>
      <w:r>
        <w:rPr>
          <w:b/>
          <w:bCs/>
          <w:i/>
          <w:iCs/>
        </w:rPr>
        <w:t>As a firm shipper this issue would likely have no impact for Enron; however in that Enron is also an interruptible shipper, the proposed pricing mechanism would be of interest.</w:t>
      </w:r>
    </w:p>
    <w:p>
      <w:pPr>
        <w:pStyle w:val="Body"/>
        <w:ind w:start="0" w:end="0"/>
        <w:rPr>
          <w:b/>
          <w:bCs/>
          <w:i/>
          <w:i/>
          <w:iCs/>
        </w:rPr>
      </w:pPr>
      <w:r>
        <w:rPr>
          <w:b/>
          <w:bCs/>
          <w:i/>
          <w:iCs/>
        </w:rPr>
      </w:r>
    </w:p>
    <w:p>
      <w:pPr>
        <w:pStyle w:val="Body"/>
        <w:rPr>
          <w:b/>
          <w:bCs/>
          <w:i/>
          <w:i/>
          <w:iCs/>
          <w:u w:val="single"/>
        </w:rPr>
      </w:pPr>
      <w:r>
        <w:rPr>
          <w:b/>
          <w:bCs/>
          <w:i/>
          <w:iCs/>
          <w:u w:val="single"/>
        </w:rPr>
      </w:r>
    </w:p>
    <w:p>
      <w:pPr>
        <w:pStyle w:val="Body"/>
        <w:rPr>
          <w:u w:val="single"/>
        </w:rPr>
      </w:pPr>
      <w:r>
        <w:rPr>
          <w:u w:val="single"/>
        </w:rPr>
        <w:t>Depreciation Rate</w:t>
      </w:r>
    </w:p>
    <w:p>
      <w:pPr>
        <w:pStyle w:val="Body"/>
        <w:rPr/>
      </w:pPr>
      <w:r>
        <w:rPr/>
      </w:r>
    </w:p>
    <w:p>
      <w:pPr>
        <w:pStyle w:val="Body"/>
        <w:rPr/>
      </w:pPr>
      <w:r>
        <w:rPr/>
        <w:t xml:space="preserve">The settlement provides for the use of a composite depreciation rate for the determination of depreciation expense for the years 2001 and 2002.  The rate for the years 2001 and 2002 is set at 2.74% and 2.89% respectively.  This composite depreciation rate is a negotiated rate, and the parties to the settlement concede that the rate does not reflect the appropriate rate and methodology that TCPL should use to determine the depreciation expense. </w:t>
      </w:r>
      <w:r>
        <w:rPr>
          <w:b/>
          <w:bCs/>
          <w:i/>
          <w:iCs/>
        </w:rPr>
        <w:t>This would be an issue for Enron if the composite depreciation rate was higher than what a formal depreciation study would indicate to be the appropriate rate and the difference made a significant impact to the FT Tolls that Enron is obligated to pay.</w:t>
      </w:r>
    </w:p>
    <w:p>
      <w:pPr>
        <w:pStyle w:val="Body"/>
        <w:rPr>
          <w:b/>
          <w:bCs/>
          <w:i/>
          <w:i/>
          <w:iCs/>
        </w:rPr>
      </w:pPr>
      <w:r>
        <w:rPr>
          <w:b/>
          <w:bCs/>
          <w:i/>
          <w:iCs/>
        </w:rPr>
      </w:r>
    </w:p>
    <w:p>
      <w:pPr>
        <w:pStyle w:val="Body"/>
        <w:rPr>
          <w:u w:val="single"/>
        </w:rPr>
      </w:pPr>
      <w:r>
        <w:rPr>
          <w:u w:val="single"/>
        </w:rPr>
        <w:t>Appropriateness of setting final tolls (versus interim tolls) as a result of this application</w:t>
      </w:r>
    </w:p>
    <w:p>
      <w:pPr>
        <w:pStyle w:val="Body"/>
        <w:rPr>
          <w:u w:val="single"/>
        </w:rPr>
      </w:pPr>
      <w:r>
        <w:rPr>
          <w:u w:val="single"/>
        </w:rPr>
      </w:r>
    </w:p>
    <w:p>
      <w:pPr>
        <w:pStyle w:val="Body"/>
        <w:rPr/>
      </w:pPr>
      <w:r>
        <w:rPr/>
        <w:t xml:space="preserve">Currently, TCPL is operating under interim tolls; and for the Eastern Zone the toll is $1.13232/GJ. Approval of the settlement filing as final tolls would result in an Eastern Zone toll of $1.10314/GJ for 2001. </w:t>
      </w:r>
    </w:p>
    <w:p>
      <w:pPr>
        <w:pStyle w:val="Body"/>
        <w:rPr/>
      </w:pPr>
      <w:r>
        <w:rPr/>
      </w:r>
    </w:p>
    <w:p>
      <w:pPr>
        <w:pStyle w:val="Body"/>
        <w:rPr/>
      </w:pPr>
      <w:r>
        <w:rPr/>
        <w:t>TCPL filed a “Fair Return” application with the NEB on June 7, 2001 requesting that the NEB determine the cost of capital to be included in the calculation of the 2001 and 2002 tolls.  TCPL is seeking approval of an after-tax weighted cost of capital (ATWACC) of 7.5%. Last December, the NEB set the rate of return on common equity at 9.61%, which when applied to the deemed common equity of 30% yielded an ATWACC of 5.84%.   An ATAWCC of 7.5% equates to a rate of return of 12.5% on a deemed common equity of 40%.  TCPL indicated the Eastern Zone toll would increase to $1.24999/GJ should the NEB approve the “Fair Return” application.</w:t>
      </w:r>
    </w:p>
    <w:p>
      <w:pPr>
        <w:pStyle w:val="Body"/>
        <w:rPr/>
      </w:pPr>
      <w:r>
        <w:rPr/>
      </w:r>
    </w:p>
    <w:p>
      <w:pPr>
        <w:pStyle w:val="Body"/>
        <w:rPr/>
      </w:pPr>
      <w:r>
        <w:rPr/>
        <w:t>Because the NEB decision on the settlement application is not expected until late in the fourth quarter of 2001, it would not matter if the decision set interim or final tolls.  Of greater importance would be the timing of the “Fair Return” decision.  For the purpose of achieving toll certainty in 2001, any adjustment to the tolls as a result of the “Fair Return” decision should be implemented in the 2002 year.</w:t>
      </w:r>
    </w:p>
    <w:p>
      <w:pPr>
        <w:pStyle w:val="Body"/>
        <w:rPr/>
      </w:pPr>
      <w:r>
        <w:rPr/>
      </w:r>
    </w:p>
    <w:p>
      <w:pPr>
        <w:pStyle w:val="Body"/>
        <w:rPr>
          <w:b/>
          <w:bCs/>
        </w:rPr>
      </w:pPr>
      <w:r>
        <w:rPr>
          <w:b/>
          <w:bCs/>
          <w:rPrChange w:id="0" w:author="ftiberi" w:date="2001-07-03T09:56:00Z"/>
        </w:rPr>
        <w:t>Process</w:t>
      </w:r>
    </w:p>
    <w:p>
      <w:pPr>
        <w:pStyle w:val="Body"/>
        <w:rPr>
          <w:b/>
          <w:bCs/>
        </w:rPr>
      </w:pPr>
      <w:r>
        <w:rPr>
          <w:b/>
          <w:bCs/>
        </w:rPr>
      </w:r>
    </w:p>
    <w:p>
      <w:pPr>
        <w:pStyle w:val="Body"/>
        <w:rPr/>
      </w:pPr>
      <w:r>
        <w:rPr/>
        <w:t>Parties interested in becoming registered as intervenors in the Settlement application are to notify the NEB in writing no later than noon on July 10, 2001.  As an intervenor, Enron will have the right to receive all information (from all parties) filed with the NEB related to this application as well as file evidence, cross-examine and submit final argument on issues of importance.</w:t>
      </w:r>
    </w:p>
    <w:p>
      <w:pPr>
        <w:pStyle w:val="Body"/>
        <w:rPr/>
      </w:pPr>
      <w:r>
        <w:rPr/>
      </w:r>
    </w:p>
    <w:p>
      <w:pPr>
        <w:pStyle w:val="Body"/>
        <w:ind w:start="0" w:end="0"/>
        <w:rPr/>
      </w:pPr>
      <w:r>
        <w:rPr/>
        <w:t xml:space="preserve">I would be happy to set a time to meet with you to discuss this further, or alternatively, please feel free to call (974-6747) or email me with your comments. </w:t>
      </w:r>
    </w:p>
    <w:p>
      <w:pPr>
        <w:pStyle w:val="Body"/>
        <w:rPr/>
      </w:pPr>
      <w:r>
        <w:rPr/>
      </w:r>
    </w:p>
    <w:p>
      <w:pPr>
        <w:pStyle w:val="CopyList"/>
        <w:rPr/>
      </w:pPr>
      <w:r>
        <w:rPr/>
        <w:t>CC: Rob Hemstock</w:t>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Arial Unicode MS">
    <w:charset w:val="8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3600" w:leader="none"/>
        <w:tab w:val="left" w:pos="4770" w:leader="none"/>
        <w:tab w:val="left" w:pos="6480" w:leader="none"/>
        <w:tab w:val="right" w:pos="10800" w:leader="none"/>
      </w:tabs>
      <w:rPr>
        <w:sz w:val="16"/>
      </w:rPr>
    </w:pPr>
    <w:r>
      <w:rPr>
        <w:b/>
        <w:sz w:val="16"/>
      </w:rPr>
      <w:t>Respect</w:t>
      <w:tab/>
      <w:t>Integrity</w:t>
      <w:tab/>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 xml:space="preserve">Form 000-469-E(7/92) </w:t>
    </w:r>
    <w:r>
      <w:rPr>
        <w:sz w:val="12"/>
      </w:rPr>
      <w:fldChar w:fldCharType="begin"/>
    </w:r>
    <w:r>
      <w:rPr>
        <w:sz w:val="12"/>
      </w:rPr>
      <w:instrText xml:space="preserve"> FILENAME \p </w:instrText>
    </w:r>
    <w:r>
      <w:rPr>
        <w:sz w:val="12"/>
      </w:rPr>
      <w:fldChar w:fldCharType="separate"/>
    </w:r>
    <w:r>
      <w:rPr>
        <w:sz w:val="12"/>
      </w:rPr>
      <w:t>/mnt/main-storage/datasets/enron-docs/doc/TCPL_Hearing_Memo.doc</w:t>
    </w:r>
    <w:r>
      <w:rPr>
        <w:sz w:val="12"/>
      </w:rPr>
      <w:fldChar w:fldCharType="end"/>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2</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2523490</wp:posOffset>
              </wp:positionH>
              <wp:positionV relativeFrom="paragraph">
                <wp:posOffset>635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0.05pt;mso-position-vertical-relative:text;margin-left:198.7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overflowPunct w:val="false"/>
      <w:autoSpaceDE w:val="false"/>
      <w:bidi w:val="0"/>
      <w:textAlignment w:val="baseline"/>
    </w:pPr>
    <w:rPr>
      <w:rFonts w:ascii="Arial" w:hAnsi="Arial" w:eastAsia="Times New Roman" w:cs="Arial"/>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hAnsi="CG Times" w:cs="CG Times"/>
      <w:b/>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NormalWeb">
    <w:name w:val="Normal (Web)"/>
    <w:basedOn w:val="Normal"/>
    <w:qFormat/>
    <w:pPr>
      <w:tabs>
        <w:tab w:val="clear" w:pos="540"/>
      </w:tabs>
      <w:overflowPunct w:val="true"/>
      <w:autoSpaceDE w:val="true"/>
      <w:spacing w:before="100" w:after="100"/>
      <w:textAlignment w:val="auto"/>
    </w:pPr>
    <w:rPr>
      <w:rFonts w:ascii="Arial Unicode MS" w:hAnsi="Arial Unicode MS" w:eastAsia="Arial Unicode MS" w:cs="Arial Unicode MS"/>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EnronMemo</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2001-07-03T13:27:00Z</dcterms:created>
  <dc:creator>ftiberi</dc:creator>
  <dc:description/>
  <dc:language>en-CA</dc:language>
  <cp:lastModifiedBy>ftiberi</cp:lastModifiedBy>
  <dcterms:modified xsi:type="dcterms:W3CDTF">2001-07-03T13:27:00Z</dcterms:modified>
  <cp:revision>2</cp:revision>
  <dc:subject/>
  <dc:title>Better, Faster, Simpler Memo </dc:title>
</cp:coreProperties>
</file>