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8"/>
        </w:rPr>
      </w:pPr>
      <w:r>
        <w:rPr>
          <w:rFonts w:cs="Arial" w:ascii="Arial" w:hAnsi="Arial"/>
          <w:b/>
          <w:sz w:val="28"/>
        </w:rPr>
        <w:t>Comparison of Locational Marginal Pricing (LMP) Congestion Management (CM) Schemes</w:t>
      </w:r>
    </w:p>
    <w:p>
      <w:pPr>
        <w:pStyle w:val="Normal"/>
        <w:rPr>
          <w:rFonts w:ascii="Arial" w:hAnsi="Arial" w:cs="Arial"/>
          <w:b/>
          <w:sz w:val="28"/>
        </w:rPr>
      </w:pPr>
      <w:r>
        <w:rPr>
          <w:rFonts w:cs="Arial" w:ascii="Arial" w:hAnsi="Arial"/>
          <w:b/>
          <w:sz w:val="28"/>
        </w:rPr>
      </w:r>
    </w:p>
    <w:p>
      <w:pPr>
        <w:pStyle w:val="Normal"/>
        <w:rPr/>
      </w:pPr>
      <w:r>
        <w:rPr/>
      </w:r>
    </w:p>
    <w:p>
      <w:pPr>
        <w:pStyle w:val="Normal"/>
        <w:rPr/>
      </w:pPr>
      <w:r>
        <w:rPr/>
      </w:r>
    </w:p>
    <w:tbl>
      <w:tblPr>
        <w:tblW w:w="13320" w:type="dxa"/>
        <w:jc w:val="start"/>
        <w:tblInd w:w="-432" w:type="dxa"/>
        <w:tblLayout w:type="fixed"/>
        <w:tblCellMar>
          <w:top w:w="0" w:type="dxa"/>
          <w:start w:w="108" w:type="dxa"/>
          <w:bottom w:w="0" w:type="dxa"/>
          <w:end w:w="108" w:type="dxa"/>
        </w:tblCellMar>
      </w:tblPr>
      <w:tblGrid>
        <w:gridCol w:w="2646"/>
        <w:gridCol w:w="3564"/>
        <w:gridCol w:w="3420"/>
        <w:gridCol w:w="3690"/>
      </w:tblGrid>
      <w:tr>
        <w:trPr>
          <w:tblHeader w:val="true"/>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rPr>
                <w:rFonts w:ascii="Arial" w:hAnsi="Arial" w:cs="Arial"/>
                <w:b/>
              </w:rPr>
            </w:pPr>
            <w:r>
              <w:rPr>
                <w:rFonts w:cs="Arial" w:ascii="Arial" w:hAnsi="Arial"/>
                <w:b/>
              </w:rPr>
            </w:r>
          </w:p>
        </w:tc>
        <w:tc>
          <w:tcPr>
            <w:tcW w:w="3564"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Nodal</w:t>
            </w:r>
          </w:p>
        </w:tc>
        <w:tc>
          <w:tcPr>
            <w:tcW w:w="342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Zonal</w:t>
            </w:r>
          </w:p>
        </w:tc>
        <w:tc>
          <w:tcPr>
            <w:tcW w:w="369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Flow-based</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Objectives of CM</w:t>
            </w:r>
          </w:p>
        </w:tc>
        <w:tc>
          <w:tcPr>
            <w:tcW w:w="3564"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color w:val="000000"/>
                <w:sz w:val="20"/>
              </w:rPr>
            </w:pPr>
            <w:r>
              <w:rPr>
                <w:rFonts w:cs="Arial" w:ascii="Arial" w:hAnsi="Arial"/>
                <w:b/>
                <w:color w:val="000000"/>
                <w:sz w:val="20"/>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20"/>
              </w:rPr>
            </w:pPr>
            <w:r>
              <w:rPr>
                <w:rFonts w:cs="Arial" w:ascii="Arial" w:hAnsi="Arial"/>
                <w:color w:val="000000"/>
                <w:sz w:val="20"/>
              </w:rPr>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20"/>
              </w:rPr>
            </w:pPr>
            <w:r>
              <w:rPr>
                <w:rFonts w:cs="Arial" w:ascii="Arial" w:hAnsi="Arial"/>
                <w:color w:val="000000"/>
                <w:sz w:val="20"/>
              </w:rPr>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rPr>
              <w:t>Theoretical Efficiency</w:t>
            </w:r>
          </w:p>
        </w:tc>
        <w:tc>
          <w:tcPr>
            <w:tcW w:w="3564" w:type="dxa"/>
            <w:tcBorders>
              <w:top w:val="single" w:sz="6" w:space="0" w:color="000000"/>
              <w:start w:val="single" w:sz="6" w:space="0" w:color="000000"/>
              <w:bottom w:val="single" w:sz="6" w:space="0" w:color="000000"/>
              <w:end w:val="single" w:sz="6" w:space="0" w:color="000000"/>
            </w:tcBorders>
          </w:tcPr>
          <w:p>
            <w:pPr>
              <w:pStyle w:val="Normal"/>
              <w:rPr>
                <w:sz w:val="20"/>
              </w:rPr>
            </w:pPr>
            <w:r>
              <w:rPr>
                <w:rFonts w:cs="Arial" w:ascii="Arial" w:hAnsi="Arial"/>
                <w:color w:val="000000"/>
                <w:sz w:val="20"/>
              </w:rPr>
              <w:t>Sound in theory. In practice, dependent on software and input assumptions. (i.e., assumptions and judgement "in the control room").</w:t>
            </w:r>
          </w:p>
        </w:tc>
        <w:tc>
          <w:tcPr>
            <w:tcW w:w="34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Efficient to the extent of aggregation error (determined at design stage).</w:t>
            </w:r>
          </w:p>
          <w:p>
            <w:pPr>
              <w:pStyle w:val="Normal"/>
              <w:rPr>
                <w:rFonts w:ascii="Arial" w:hAnsi="Arial" w:cs="Arial"/>
                <w:color w:val="000000"/>
                <w:sz w:val="20"/>
              </w:rPr>
            </w:pPr>
            <w:r>
              <w:rPr>
                <w:rFonts w:cs="Arial" w:ascii="Arial" w:hAnsi="Arial"/>
                <w:color w:val="000000"/>
                <w:sz w:val="20"/>
              </w:rPr>
            </w:r>
          </w:p>
        </w:tc>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rFonts w:cs="Arial" w:ascii="Arial" w:hAnsi="Arial"/>
                <w:color w:val="000000"/>
                <w:sz w:val="20"/>
              </w:rPr>
              <w:t>Efficient forward market pricing, overall efficiency dependent on combined efficiency of forward and real-time energy markets and selection of flowgates.</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rPr>
            </w:pPr>
            <w:r>
              <w:rPr>
                <w:rFonts w:cs="Arial" w:ascii="Arial" w:hAnsi="Arial"/>
              </w:rPr>
              <w:t>Implementation</w:t>
            </w:r>
          </w:p>
        </w:tc>
        <w:tc>
          <w:tcPr>
            <w:tcW w:w="3564" w:type="dxa"/>
            <w:tcBorders>
              <w:top w:val="single" w:sz="6" w:space="0" w:color="000000"/>
              <w:start w:val="single" w:sz="6" w:space="0" w:color="000000"/>
              <w:bottom w:val="single" w:sz="6" w:space="0" w:color="000000"/>
              <w:end w:val="single" w:sz="6" w:space="0" w:color="000000"/>
            </w:tcBorders>
          </w:tcPr>
          <w:p>
            <w:pPr>
              <w:pStyle w:val="Normal"/>
              <w:rPr>
                <w:sz w:val="20"/>
              </w:rPr>
            </w:pPr>
            <w:r>
              <w:rPr>
                <w:rFonts w:cs="Arial" w:ascii="Arial" w:hAnsi="Arial"/>
                <w:color w:val="000000"/>
                <w:sz w:val="20"/>
              </w:rPr>
              <w:t>Centralization costly. Most suitable for ‘tight’ pools such as PJM, NY and NE or to RTOs with few control areas.</w:t>
            </w:r>
          </w:p>
        </w:tc>
        <w:tc>
          <w:tcPr>
            <w:tcW w:w="3420" w:type="dxa"/>
            <w:tcBorders>
              <w:top w:val="single" w:sz="6" w:space="0" w:color="000000"/>
              <w:start w:val="single" w:sz="6" w:space="0" w:color="000000"/>
              <w:bottom w:val="single" w:sz="6" w:space="0" w:color="000000"/>
              <w:end w:val="single" w:sz="6" w:space="0" w:color="000000"/>
            </w:tcBorders>
          </w:tcPr>
          <w:p>
            <w:pPr>
              <w:pStyle w:val="Normal"/>
              <w:rPr>
                <w:sz w:val="20"/>
              </w:rPr>
            </w:pPr>
            <w:r>
              <w:rPr>
                <w:rFonts w:cs="Arial" w:ascii="Arial" w:hAnsi="Arial"/>
                <w:color w:val="000000"/>
                <w:sz w:val="20"/>
              </w:rPr>
              <w:t xml:space="preserve">Easier implementation in large RTOs with multiple control areas. Challenge lies in zone definition and flowgate selection at design stage. </w:t>
            </w:r>
          </w:p>
        </w:tc>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 xml:space="preserve">Selection criteria required for ‘commercially significant’ flowgates. </w:t>
            </w:r>
          </w:p>
          <w:p>
            <w:pPr>
              <w:pStyle w:val="Normal"/>
              <w:rPr>
                <w:rFonts w:ascii="Arial" w:hAnsi="Arial" w:cs="Arial"/>
                <w:color w:val="000000"/>
                <w:sz w:val="20"/>
              </w:rPr>
            </w:pPr>
            <w:r>
              <w:rPr>
                <w:rFonts w:cs="Arial" w:ascii="Arial" w:hAnsi="Arial"/>
                <w:color w:val="000000"/>
                <w:sz w:val="20"/>
              </w:rPr>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rPr>
            </w:pPr>
            <w:r>
              <w:rPr>
                <w:rFonts w:cs="Arial" w:ascii="Arial" w:hAnsi="Arial"/>
              </w:rPr>
              <w:t>Bilateral Market Activity</w:t>
            </w:r>
          </w:p>
        </w:tc>
        <w:tc>
          <w:tcPr>
            <w:tcW w:w="3564" w:type="dxa"/>
            <w:tcBorders>
              <w:top w:val="single" w:sz="6" w:space="0" w:color="000000"/>
              <w:start w:val="single" w:sz="6" w:space="0" w:color="000000"/>
              <w:bottom w:val="single" w:sz="6" w:space="0" w:color="000000"/>
              <w:end w:val="single" w:sz="6" w:space="0" w:color="000000"/>
            </w:tcBorders>
          </w:tcPr>
          <w:p>
            <w:pPr>
              <w:pStyle w:val="Normal"/>
              <w:rPr>
                <w:sz w:val="20"/>
              </w:rPr>
            </w:pPr>
            <w:r>
              <w:rPr>
                <w:rFonts w:cs="Arial" w:ascii="Arial" w:hAnsi="Arial"/>
                <w:color w:val="000000"/>
                <w:sz w:val="20"/>
              </w:rPr>
              <w:t>Complexity, price unpredictability/ unmanageability, and time required to calculate prices are barriers to entry and trading. Discourages bilateral trading.</w:t>
            </w:r>
          </w:p>
        </w:tc>
        <w:tc>
          <w:tcPr>
            <w:tcW w:w="3420" w:type="dxa"/>
            <w:tcBorders>
              <w:top w:val="single" w:sz="6" w:space="0" w:color="000000"/>
              <w:start w:val="single" w:sz="6" w:space="0" w:color="000000"/>
              <w:bottom w:val="single" w:sz="6" w:space="0" w:color="000000"/>
              <w:end w:val="single" w:sz="6" w:space="0" w:color="000000"/>
            </w:tcBorders>
          </w:tcPr>
          <w:p>
            <w:pPr>
              <w:pStyle w:val="Normal"/>
              <w:rPr>
                <w:sz w:val="20"/>
              </w:rPr>
            </w:pPr>
            <w:r>
              <w:rPr>
                <w:rFonts w:cs="Arial" w:ascii="Arial" w:hAnsi="Arial"/>
                <w:color w:val="000000"/>
                <w:sz w:val="20"/>
              </w:rPr>
              <w:t>Encourages bilateral trading, Market participants set price of transmission based on expected values.</w:t>
            </w:r>
          </w:p>
        </w:tc>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rFonts w:cs="Arial" w:ascii="Arial" w:hAnsi="Arial"/>
                <w:color w:val="000000"/>
                <w:sz w:val="20"/>
              </w:rPr>
              <w:t>Encourages bilateral trading, Market participants set price of transmission based on expected values.</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rPr>
            </w:pPr>
            <w:r>
              <w:rPr>
                <w:rFonts w:cs="Arial" w:ascii="Arial" w:hAnsi="Arial"/>
              </w:rPr>
              <w:t>Equity</w:t>
            </w:r>
          </w:p>
        </w:tc>
        <w:tc>
          <w:tcPr>
            <w:tcW w:w="3564" w:type="dxa"/>
            <w:tcBorders>
              <w:top w:val="single" w:sz="6" w:space="0" w:color="000000"/>
              <w:start w:val="single" w:sz="6" w:space="0" w:color="000000"/>
              <w:bottom w:val="single" w:sz="6" w:space="0" w:color="000000"/>
              <w:end w:val="single" w:sz="6" w:space="0" w:color="000000"/>
            </w:tcBorders>
          </w:tcPr>
          <w:p>
            <w:pPr>
              <w:pStyle w:val="Normal"/>
              <w:rPr>
                <w:sz w:val="20"/>
              </w:rPr>
            </w:pPr>
            <w:r>
              <w:rPr>
                <w:rFonts w:cs="Arial" w:ascii="Arial" w:hAnsi="Arial"/>
                <w:color w:val="000000"/>
                <w:sz w:val="20"/>
              </w:rPr>
              <w:t>Can lead to inequitable outcomes at a local level (e.g., factor of 10 difference in prices in same substation in PJM due to different voltage level or price differentials based solely on definition of system components as in Delmarva); consumers pay the price for operator decisions (e.g., deferred investments and arbitrary prices when model won’t solve).</w:t>
            </w:r>
          </w:p>
        </w:tc>
        <w:tc>
          <w:tcPr>
            <w:tcW w:w="3420" w:type="dxa"/>
            <w:tcBorders>
              <w:top w:val="single" w:sz="6" w:space="0" w:color="000000"/>
              <w:start w:val="single" w:sz="6" w:space="0" w:color="000000"/>
              <w:bottom w:val="single" w:sz="6" w:space="0" w:color="000000"/>
              <w:end w:val="single" w:sz="6" w:space="0" w:color="000000"/>
            </w:tcBorders>
          </w:tcPr>
          <w:p>
            <w:pPr>
              <w:pStyle w:val="Normal"/>
              <w:rPr>
                <w:sz w:val="20"/>
              </w:rPr>
            </w:pPr>
            <w:r>
              <w:rPr>
                <w:rFonts w:cs="Arial" w:ascii="Arial" w:hAnsi="Arial"/>
                <w:color w:val="000000"/>
                <w:sz w:val="20"/>
              </w:rPr>
              <w:t>Equitable in the absence of significant, unanticipated intra-zonal congestion (which can be mitigated by adding new zones or flowgates).</w:t>
            </w:r>
          </w:p>
        </w:tc>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rFonts w:cs="Arial" w:ascii="Arial" w:hAnsi="Arial"/>
                <w:color w:val="000000"/>
                <w:sz w:val="20"/>
              </w:rPr>
              <w:t>Equitable in the absence of significant congestion on non-tradable transmission elements (which can be mitigated by adding new flowgates).</w:t>
            </w:r>
          </w:p>
        </w:tc>
      </w:tr>
    </w:tbl>
    <w:p>
      <w:pPr>
        <w:pStyle w:val="Normal"/>
        <w:rPr/>
      </w:pPr>
      <w:r>
        <w:rPr/>
      </w:r>
    </w:p>
    <w:p>
      <w:pPr>
        <w:pStyle w:val="Normal"/>
        <w:rPr/>
      </w:pPr>
      <w:r>
        <w:rPr/>
      </w:r>
    </w:p>
    <w:p>
      <w:pPr>
        <w:pStyle w:val="Normal"/>
        <w:rPr/>
      </w:pPr>
      <w:r>
        <w:rPr/>
      </w:r>
    </w:p>
    <w:tbl>
      <w:tblPr>
        <w:tblW w:w="13320" w:type="dxa"/>
        <w:jc w:val="start"/>
        <w:tblInd w:w="-432" w:type="dxa"/>
        <w:tblLayout w:type="fixed"/>
        <w:tblCellMar>
          <w:top w:w="0" w:type="dxa"/>
          <w:start w:w="108" w:type="dxa"/>
          <w:bottom w:w="0" w:type="dxa"/>
          <w:end w:w="108" w:type="dxa"/>
        </w:tblCellMar>
      </w:tblPr>
      <w:tblGrid>
        <w:gridCol w:w="2646"/>
        <w:gridCol w:w="3564"/>
        <w:gridCol w:w="3420"/>
        <w:gridCol w:w="3690"/>
      </w:tblGrid>
      <w:tr>
        <w:trPr>
          <w:tblHeader w:val="true"/>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rPr>
                <w:rFonts w:ascii="Arial" w:hAnsi="Arial" w:cs="Arial"/>
                <w:b/>
              </w:rPr>
            </w:pPr>
            <w:r>
              <w:rPr>
                <w:rFonts w:cs="Arial" w:ascii="Arial" w:hAnsi="Arial"/>
                <w:b/>
              </w:rPr>
            </w:r>
          </w:p>
        </w:tc>
        <w:tc>
          <w:tcPr>
            <w:tcW w:w="3564"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Nodal</w:t>
            </w:r>
          </w:p>
        </w:tc>
        <w:tc>
          <w:tcPr>
            <w:tcW w:w="342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Zonal</w:t>
            </w:r>
          </w:p>
        </w:tc>
        <w:tc>
          <w:tcPr>
            <w:tcW w:w="369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Flow-based</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Objectives of CM</w:t>
            </w:r>
          </w:p>
        </w:tc>
        <w:tc>
          <w:tcPr>
            <w:tcW w:w="3564"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color w:val="000000"/>
                <w:sz w:val="20"/>
              </w:rPr>
            </w:pPr>
            <w:r>
              <w:rPr>
                <w:rFonts w:cs="Arial" w:ascii="Arial" w:hAnsi="Arial"/>
                <w:b/>
                <w:color w:val="000000"/>
                <w:sz w:val="20"/>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20"/>
              </w:rPr>
            </w:pPr>
            <w:r>
              <w:rPr>
                <w:rFonts w:cs="Arial" w:ascii="Arial" w:hAnsi="Arial"/>
                <w:color w:val="000000"/>
                <w:sz w:val="20"/>
              </w:rPr>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20"/>
              </w:rPr>
            </w:pPr>
            <w:r>
              <w:rPr>
                <w:rFonts w:cs="Arial" w:ascii="Arial" w:hAnsi="Arial"/>
                <w:color w:val="000000"/>
                <w:sz w:val="20"/>
              </w:rPr>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rPr>
            </w:pPr>
            <w:r>
              <w:rPr>
                <w:rFonts w:cs="Arial" w:ascii="Arial" w:hAnsi="Arial"/>
              </w:rPr>
              <w:t>Cost Allocation</w:t>
            </w:r>
          </w:p>
        </w:tc>
        <w:tc>
          <w:tcPr>
            <w:tcW w:w="3564" w:type="dxa"/>
            <w:tcBorders>
              <w:top w:val="single" w:sz="6" w:space="0" w:color="000000"/>
              <w:start w:val="single" w:sz="6" w:space="0" w:color="000000"/>
              <w:bottom w:val="single" w:sz="6" w:space="0" w:color="000000"/>
              <w:end w:val="single" w:sz="6" w:space="0" w:color="000000"/>
            </w:tcBorders>
          </w:tcPr>
          <w:p>
            <w:pPr>
              <w:pStyle w:val="Normal"/>
              <w:rPr>
                <w:sz w:val="20"/>
              </w:rPr>
            </w:pPr>
            <w:r>
              <w:rPr>
                <w:rFonts w:cs="Arial" w:ascii="Arial" w:hAnsi="Arial"/>
                <w:color w:val="000000"/>
                <w:sz w:val="20"/>
              </w:rPr>
              <w:t>Accurate, within limits of assumptions; finest level of system detail (granularity). May unnecessarily penalize loads for localized transmission problems.</w:t>
            </w:r>
          </w:p>
        </w:tc>
        <w:tc>
          <w:tcPr>
            <w:tcW w:w="3420" w:type="dxa"/>
            <w:tcBorders>
              <w:top w:val="single" w:sz="6" w:space="0" w:color="000000"/>
              <w:start w:val="single" w:sz="6" w:space="0" w:color="000000"/>
              <w:bottom w:val="single" w:sz="6" w:space="0" w:color="000000"/>
              <w:end w:val="single" w:sz="6" w:space="0" w:color="000000"/>
            </w:tcBorders>
          </w:tcPr>
          <w:p>
            <w:pPr>
              <w:pStyle w:val="Normal"/>
              <w:rPr>
                <w:sz w:val="20"/>
              </w:rPr>
            </w:pPr>
            <w:r>
              <w:rPr>
                <w:rFonts w:cs="Arial" w:ascii="Arial" w:hAnsi="Arial"/>
                <w:color w:val="000000"/>
                <w:sz w:val="20"/>
              </w:rPr>
              <w:t>Accurate with market-defined zones and constraint selection.</w:t>
            </w:r>
          </w:p>
        </w:tc>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rFonts w:cs="Arial" w:ascii="Arial" w:hAnsi="Arial"/>
                <w:color w:val="000000"/>
                <w:sz w:val="20"/>
              </w:rPr>
              <w:t>Accurate with appropriate flowgate selection.</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rPr>
            </w:pPr>
            <w:r>
              <w:rPr>
                <w:rFonts w:cs="Arial" w:ascii="Arial" w:hAnsi="Arial"/>
              </w:rPr>
              <w:t>Future Investment</w:t>
            </w:r>
          </w:p>
        </w:tc>
        <w:tc>
          <w:tcPr>
            <w:tcW w:w="356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Provides correct signals for generation, deters creation of ‘local’ congestion.</w:t>
            </w:r>
          </w:p>
          <w:p>
            <w:pPr>
              <w:pStyle w:val="Normal"/>
              <w:rPr>
                <w:sz w:val="20"/>
              </w:rPr>
            </w:pPr>
            <w:r>
              <w:rPr>
                <w:rFonts w:cs="Arial" w:ascii="Arial" w:hAnsi="Arial"/>
                <w:color w:val="000000"/>
                <w:sz w:val="20"/>
              </w:rPr>
              <w:t>Little incentive for transmission investment.</w:t>
            </w:r>
          </w:p>
        </w:tc>
        <w:tc>
          <w:tcPr>
            <w:tcW w:w="3420" w:type="dxa"/>
            <w:tcBorders>
              <w:top w:val="single" w:sz="6" w:space="0" w:color="000000"/>
              <w:start w:val="single" w:sz="6" w:space="0" w:color="000000"/>
              <w:bottom w:val="single" w:sz="6" w:space="0" w:color="000000"/>
              <w:end w:val="single" w:sz="6" w:space="0" w:color="000000"/>
            </w:tcBorders>
          </w:tcPr>
          <w:p>
            <w:pPr>
              <w:pStyle w:val="Normal"/>
              <w:rPr>
                <w:sz w:val="20"/>
              </w:rPr>
            </w:pPr>
            <w:r>
              <w:rPr>
                <w:rFonts w:cs="Arial" w:ascii="Arial" w:hAnsi="Arial"/>
                <w:color w:val="000000"/>
                <w:sz w:val="20"/>
              </w:rPr>
              <w:t>Provides correct signals for generation, but with less spatial specificity (greater granularity). TransCo can be designed to have incentive for transmission investment (e.g., take on risk/ reward of intra-zonal congestion management).</w:t>
            </w:r>
          </w:p>
        </w:tc>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rFonts w:cs="Arial" w:ascii="Arial" w:hAnsi="Arial"/>
                <w:color w:val="000000"/>
                <w:sz w:val="20"/>
              </w:rPr>
              <w:t>Provides correct signals for generation, but with less spatial specificity (greater granularity). TransCo can be designed to have incentive for transmission investment (e.g., take on risk/reward of intra-zonal congestion management).</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rPr>
            </w:pPr>
            <w:r>
              <w:rPr>
                <w:rFonts w:cs="Arial" w:ascii="Arial" w:hAnsi="Arial"/>
              </w:rPr>
              <w:t>Retail Access</w:t>
            </w:r>
          </w:p>
        </w:tc>
        <w:tc>
          <w:tcPr>
            <w:tcW w:w="3564" w:type="dxa"/>
            <w:tcBorders>
              <w:top w:val="single" w:sz="6" w:space="0" w:color="000000"/>
              <w:start w:val="single" w:sz="6" w:space="0" w:color="000000"/>
              <w:bottom w:val="single" w:sz="6" w:space="0" w:color="000000"/>
              <w:end w:val="single" w:sz="6" w:space="0" w:color="000000"/>
            </w:tcBorders>
          </w:tcPr>
          <w:p>
            <w:pPr>
              <w:pStyle w:val="Normal"/>
              <w:rPr>
                <w:sz w:val="20"/>
              </w:rPr>
            </w:pPr>
            <w:r>
              <w:rPr>
                <w:rFonts w:cs="Arial" w:ascii="Arial" w:hAnsi="Arial"/>
                <w:color w:val="000000"/>
                <w:sz w:val="20"/>
              </w:rPr>
              <w:t xml:space="preserve">Complexity and </w:t>
            </w:r>
            <w:r>
              <w:rPr>
                <w:rFonts w:cs="Arial" w:ascii="Arial" w:hAnsi="Arial"/>
                <w:i/>
                <w:color w:val="000000"/>
                <w:sz w:val="20"/>
              </w:rPr>
              <w:t>ex-post</w:t>
            </w:r>
            <w:r>
              <w:rPr>
                <w:rFonts w:cs="Arial" w:ascii="Arial" w:hAnsi="Arial"/>
                <w:color w:val="000000"/>
                <w:sz w:val="20"/>
              </w:rPr>
              <w:t xml:space="preserve"> pricing hinders retail participation.</w:t>
            </w:r>
          </w:p>
        </w:tc>
        <w:tc>
          <w:tcPr>
            <w:tcW w:w="3420" w:type="dxa"/>
            <w:tcBorders>
              <w:top w:val="single" w:sz="6" w:space="0" w:color="000000"/>
              <w:start w:val="single" w:sz="6" w:space="0" w:color="000000"/>
              <w:bottom w:val="single" w:sz="6" w:space="0" w:color="000000"/>
              <w:end w:val="single" w:sz="6" w:space="0" w:color="000000"/>
            </w:tcBorders>
          </w:tcPr>
          <w:p>
            <w:pPr>
              <w:pStyle w:val="Normal"/>
              <w:rPr>
                <w:sz w:val="20"/>
              </w:rPr>
            </w:pPr>
            <w:r>
              <w:rPr>
                <w:rFonts w:cs="Arial" w:ascii="Arial" w:hAnsi="Arial"/>
                <w:color w:val="000000"/>
                <w:sz w:val="20"/>
              </w:rPr>
              <w:t xml:space="preserve">Effective, because of </w:t>
            </w:r>
            <w:r>
              <w:rPr>
                <w:rFonts w:cs="Arial" w:ascii="Arial" w:hAnsi="Arial"/>
                <w:i/>
                <w:color w:val="000000"/>
                <w:sz w:val="20"/>
              </w:rPr>
              <w:t>ex-ante</w:t>
            </w:r>
            <w:r>
              <w:rPr>
                <w:rFonts w:cs="Arial" w:ascii="Arial" w:hAnsi="Arial"/>
                <w:color w:val="000000"/>
                <w:sz w:val="20"/>
              </w:rPr>
              <w:t>, market-based pricing and limited pricing areas.</w:t>
            </w:r>
          </w:p>
        </w:tc>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rFonts w:cs="Arial" w:ascii="Arial" w:hAnsi="Arial"/>
                <w:color w:val="000000"/>
                <w:sz w:val="20"/>
              </w:rPr>
              <w:t xml:space="preserve">Effective, because of </w:t>
            </w:r>
            <w:r>
              <w:rPr>
                <w:rFonts w:cs="Arial" w:ascii="Arial" w:hAnsi="Arial"/>
                <w:i/>
                <w:color w:val="000000"/>
                <w:sz w:val="20"/>
              </w:rPr>
              <w:t>ex ante</w:t>
            </w:r>
            <w:r>
              <w:rPr>
                <w:rFonts w:cs="Arial" w:ascii="Arial" w:hAnsi="Arial"/>
                <w:color w:val="000000"/>
                <w:sz w:val="20"/>
              </w:rPr>
              <w:t>, market-based pricing and limited pricing areas.</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Methodology</w:t>
            </w:r>
          </w:p>
        </w:tc>
        <w:tc>
          <w:tcPr>
            <w:tcW w:w="3564"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color w:val="000000"/>
                <w:sz w:val="20"/>
              </w:rPr>
            </w:pPr>
            <w:r>
              <w:rPr>
                <w:rFonts w:cs="Arial" w:ascii="Arial" w:hAnsi="Arial"/>
                <w:b/>
                <w:color w:val="000000"/>
                <w:sz w:val="20"/>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20"/>
              </w:rPr>
            </w:pPr>
            <w:r>
              <w:rPr>
                <w:rFonts w:cs="Arial" w:ascii="Arial" w:hAnsi="Arial"/>
                <w:color w:val="000000"/>
                <w:sz w:val="20"/>
              </w:rPr>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20"/>
              </w:rPr>
            </w:pPr>
            <w:r>
              <w:rPr>
                <w:rFonts w:cs="Arial" w:ascii="Arial" w:hAnsi="Arial"/>
                <w:color w:val="000000"/>
                <w:sz w:val="20"/>
              </w:rPr>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i/>
                <w:i/>
              </w:rPr>
            </w:pPr>
            <w:r>
              <w:rPr>
                <w:rFonts w:cs="Arial" w:ascii="Arial" w:hAnsi="Arial"/>
                <w:i/>
              </w:rPr>
              <w:t>Transmission Property Rights</w:t>
            </w:r>
          </w:p>
        </w:tc>
        <w:tc>
          <w:tcPr>
            <w:tcW w:w="3564"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i/>
                <w:i/>
                <w:color w:val="000000"/>
                <w:sz w:val="20"/>
              </w:rPr>
            </w:pPr>
            <w:r>
              <w:rPr>
                <w:rFonts w:cs="Arial" w:ascii="Arial" w:hAnsi="Arial"/>
                <w:i/>
                <w:color w:val="000000"/>
                <w:sz w:val="20"/>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20"/>
              </w:rPr>
            </w:pPr>
            <w:r>
              <w:rPr>
                <w:rFonts w:cs="Arial" w:ascii="Arial" w:hAnsi="Arial"/>
                <w:color w:val="000000"/>
                <w:sz w:val="20"/>
              </w:rPr>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20"/>
              </w:rPr>
            </w:pPr>
            <w:r>
              <w:rPr>
                <w:rFonts w:cs="Arial" w:ascii="Arial" w:hAnsi="Arial"/>
                <w:color w:val="000000"/>
                <w:sz w:val="20"/>
              </w:rPr>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ind w:start="252" w:end="0"/>
              <w:rPr>
                <w:rFonts w:ascii="Arial" w:hAnsi="Arial" w:cs="Arial"/>
              </w:rPr>
            </w:pPr>
            <w:r>
              <w:rPr>
                <w:rFonts w:cs="Arial" w:ascii="Arial" w:hAnsi="Arial"/>
              </w:rPr>
              <w:t>Definition</w:t>
            </w:r>
          </w:p>
        </w:tc>
        <w:tc>
          <w:tcPr>
            <w:tcW w:w="356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Financial Rights, defined point-to-point. No flow guarantee, but hedge against resulting price difference between nodes. Physical rights would not be easily definable in a nodal system.</w:t>
            </w:r>
          </w:p>
        </w:tc>
        <w:tc>
          <w:tcPr>
            <w:tcW w:w="34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Implementable with physical and financial rights - proposed mostly with physical rights - defined for "commercially significant" constraints only.  These define the boundaries between the zones.</w:t>
            </w:r>
          </w:p>
        </w:tc>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Implementable with physical and financial rights - proposed mostly with physical rights - defined for "commercially significant" constraints only.</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ind w:start="252" w:end="0"/>
              <w:rPr>
                <w:rFonts w:ascii="Arial" w:hAnsi="Arial" w:cs="Arial"/>
              </w:rPr>
            </w:pPr>
            <w:r>
              <w:rPr>
                <w:rFonts w:cs="Arial" w:ascii="Arial" w:hAnsi="Arial"/>
              </w:rPr>
              <w:t>Nomenclature</w:t>
            </w:r>
          </w:p>
        </w:tc>
        <w:tc>
          <w:tcPr>
            <w:tcW w:w="356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FTRs (Fixed Transmission Rights) in PJM, (Transmission Congestion Contracts) TCCs in New York, (Financial Congestion Rights) FCRs in NEPOOL.</w:t>
            </w:r>
          </w:p>
        </w:tc>
        <w:tc>
          <w:tcPr>
            <w:tcW w:w="34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(Firm Transmission Rights) FTRs in California.</w:t>
            </w:r>
          </w:p>
        </w:tc>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PTRs (Physical Transmission Rights) in the Flow-based model.</w:t>
            </w:r>
          </w:p>
        </w:tc>
      </w:tr>
    </w:tbl>
    <w:p>
      <w:pPr>
        <w:pStyle w:val="Normal"/>
        <w:rPr/>
      </w:pPr>
      <w:r>
        <w:rPr/>
      </w:r>
    </w:p>
    <w:p>
      <w:pPr>
        <w:pStyle w:val="Normal"/>
        <w:rPr/>
      </w:pPr>
      <w:r>
        <w:rPr/>
      </w:r>
    </w:p>
    <w:p>
      <w:pPr>
        <w:pStyle w:val="Normal"/>
        <w:rPr/>
      </w:pPr>
      <w:r>
        <w:rPr/>
      </w:r>
    </w:p>
    <w:tbl>
      <w:tblPr>
        <w:tblW w:w="13320" w:type="dxa"/>
        <w:jc w:val="start"/>
        <w:tblInd w:w="-432" w:type="dxa"/>
        <w:tblLayout w:type="fixed"/>
        <w:tblCellMar>
          <w:top w:w="0" w:type="dxa"/>
          <w:start w:w="108" w:type="dxa"/>
          <w:bottom w:w="0" w:type="dxa"/>
          <w:end w:w="108" w:type="dxa"/>
        </w:tblCellMar>
      </w:tblPr>
      <w:tblGrid>
        <w:gridCol w:w="2646"/>
        <w:gridCol w:w="3564"/>
        <w:gridCol w:w="3420"/>
        <w:gridCol w:w="3690"/>
      </w:tblGrid>
      <w:tr>
        <w:trPr>
          <w:tblHeader w:val="true"/>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rPr>
                <w:rFonts w:ascii="Arial" w:hAnsi="Arial" w:cs="Arial"/>
                <w:b/>
              </w:rPr>
            </w:pPr>
            <w:r>
              <w:rPr>
                <w:rFonts w:cs="Arial" w:ascii="Arial" w:hAnsi="Arial"/>
                <w:b/>
              </w:rPr>
            </w:r>
          </w:p>
        </w:tc>
        <w:tc>
          <w:tcPr>
            <w:tcW w:w="3564"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Nodal</w:t>
            </w:r>
          </w:p>
        </w:tc>
        <w:tc>
          <w:tcPr>
            <w:tcW w:w="342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Zonal</w:t>
            </w:r>
          </w:p>
        </w:tc>
        <w:tc>
          <w:tcPr>
            <w:tcW w:w="369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Flow-based</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ind w:start="252" w:end="0"/>
              <w:rPr>
                <w:rFonts w:ascii="Arial" w:hAnsi="Arial" w:cs="Arial"/>
              </w:rPr>
            </w:pPr>
            <w:r>
              <w:rPr>
                <w:rFonts w:cs="Arial" w:ascii="Arial" w:hAnsi="Arial"/>
              </w:rPr>
              <w:t>Capacity Release</w:t>
            </w:r>
          </w:p>
        </w:tc>
        <w:tc>
          <w:tcPr>
            <w:tcW w:w="356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Periodic auctions, capacity released based on auction bids.  Auction requires OPF model.  Rights can theoretically  be traded in secondary markets, though transfers require RTO intervention in NY and PJM, and location-specificity hinders trading. In PJM, quantity-based rationing provides incentives exist to hoard FTRs.</w:t>
            </w:r>
          </w:p>
        </w:tc>
        <w:tc>
          <w:tcPr>
            <w:tcW w:w="34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 xml:space="preserve">Periodic auctions on chosen paths based on simultaneous transfer limits. Incremental capacity released continuously into bilateral market. Independently operated exchange allows for continuously cleared bilateral, secondary market for capacity. </w:t>
            </w:r>
          </w:p>
        </w:tc>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Periodic auctions on “commercially significant” flowgates based on individual flowgate transfer limits. Independently operated exchange allows for continuously cleared bilateral, secondary market for capacity.</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ind w:start="252" w:end="0"/>
              <w:rPr>
                <w:rFonts w:ascii="Arial" w:hAnsi="Arial" w:cs="Arial"/>
              </w:rPr>
            </w:pPr>
            <w:r>
              <w:rPr>
                <w:rFonts w:cs="Arial" w:ascii="Arial" w:hAnsi="Arial"/>
              </w:rPr>
              <w:t>Updating of Nodes or Zones</w:t>
            </w:r>
          </w:p>
        </w:tc>
        <w:tc>
          <w:tcPr>
            <w:tcW w:w="356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In theory all nodes are defined at the time of system design.  In practice in PJM additional facilities are turned over to IO at request of transmission owners that results in significant unanticipated and permanent price differentials.</w:t>
            </w:r>
          </w:p>
        </w:tc>
        <w:tc>
          <w:tcPr>
            <w:tcW w:w="34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Zonal boundaries are defined to occur at commercially significant constraints.  Definitions are reviewed annually (or more frequently) as a step in the annual reallocation / auction process.</w:t>
            </w:r>
          </w:p>
        </w:tc>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Flowgates for allocation or auction are defined to be those that are “commercially significant.”  Definitions are reviewed annually (or more frequently) as a step in the annual reallocation / auction process.</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ind w:start="252" w:end="0"/>
              <w:rPr>
                <w:rFonts w:ascii="Arial" w:hAnsi="Arial" w:cs="Arial"/>
              </w:rPr>
            </w:pPr>
            <w:r>
              <w:rPr>
                <w:rFonts w:cs="Arial" w:ascii="Arial" w:hAnsi="Arial"/>
              </w:rPr>
              <w:t>Handling Loop Flows (within RTO)</w:t>
            </w:r>
          </w:p>
        </w:tc>
        <w:tc>
          <w:tcPr>
            <w:tcW w:w="356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Internalized into Optimal Power Flow (OPF).</w:t>
            </w:r>
          </w:p>
        </w:tc>
        <w:tc>
          <w:tcPr>
            <w:tcW w:w="3420" w:type="dxa"/>
            <w:tcBorders>
              <w:top w:val="single" w:sz="6" w:space="0" w:color="000000"/>
              <w:start w:val="single" w:sz="6" w:space="0" w:color="000000"/>
              <w:bottom w:val="single" w:sz="6" w:space="0" w:color="000000"/>
              <w:end w:val="single" w:sz="6" w:space="0" w:color="000000"/>
            </w:tcBorders>
          </w:tcPr>
          <w:p>
            <w:pPr>
              <w:pStyle w:val="Normal"/>
              <w:rPr/>
            </w:pPr>
            <w:r>
              <w:rPr>
                <w:rFonts w:cs="Arial" w:ascii="Arial" w:hAnsi="Arial"/>
                <w:color w:val="000000"/>
                <w:sz w:val="20"/>
              </w:rPr>
              <w:t>Handled by defining capacity rights using simultaneously feasible flow limits</w:t>
            </w:r>
            <w:r>
              <w:rPr>
                <w:rFonts w:cs="Arial" w:ascii="Arial" w:hAnsi="Arial"/>
                <w:color w:val="000000"/>
                <w:sz w:val="20"/>
                <w:lang w:eastAsia="en-US"/>
              </w:rPr>
              <w:t xml:space="preserve"> and requiring zone-to-zone purchases to purchase rights on flowgates in accordance with NERC distribution factor-based flow contributions</w:t>
            </w:r>
            <w:r>
              <w:rPr>
                <w:rFonts w:cs="Arial" w:ascii="Arial" w:hAnsi="Arial"/>
                <w:color w:val="000000"/>
                <w:sz w:val="20"/>
              </w:rPr>
              <w:t>.</w:t>
            </w:r>
          </w:p>
        </w:tc>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Handled by requiring transactions to purchase flowgate rights based on contribution of transactions to flows on each flowgate (NERC distribution factors).</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i/>
                <w:i/>
              </w:rPr>
            </w:pPr>
            <w:r>
              <w:rPr>
                <w:rFonts w:cs="Arial" w:ascii="Arial" w:hAnsi="Arial"/>
                <w:i/>
              </w:rPr>
              <w:t>Market Operation</w:t>
            </w:r>
          </w:p>
        </w:tc>
        <w:tc>
          <w:tcPr>
            <w:tcW w:w="3564"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i/>
                <w:i/>
                <w:color w:val="000000"/>
                <w:sz w:val="20"/>
              </w:rPr>
            </w:pPr>
            <w:r>
              <w:rPr>
                <w:rFonts w:cs="Arial" w:ascii="Arial" w:hAnsi="Arial"/>
                <w:i/>
                <w:color w:val="000000"/>
                <w:sz w:val="20"/>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20"/>
              </w:rPr>
            </w:pPr>
            <w:r>
              <w:rPr>
                <w:rFonts w:cs="Arial" w:ascii="Arial" w:hAnsi="Arial"/>
                <w:color w:val="000000"/>
                <w:sz w:val="20"/>
              </w:rPr>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20"/>
              </w:rPr>
            </w:pPr>
            <w:r>
              <w:rPr>
                <w:rFonts w:cs="Arial" w:ascii="Arial" w:hAnsi="Arial"/>
                <w:color w:val="000000"/>
                <w:sz w:val="20"/>
              </w:rPr>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ind w:start="252" w:end="0"/>
              <w:rPr>
                <w:rFonts w:ascii="Arial" w:hAnsi="Arial" w:cs="Arial"/>
              </w:rPr>
            </w:pPr>
            <w:r>
              <w:rPr>
                <w:rFonts w:cs="Arial" w:ascii="Arial" w:hAnsi="Arial"/>
              </w:rPr>
              <w:t>Payment</w:t>
            </w:r>
          </w:p>
        </w:tc>
        <w:tc>
          <w:tcPr>
            <w:tcW w:w="356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Payments made to RTO in auctions. Revenues distributed to reduce fixed charges.  In PJM, FTRs are allocated to load in complex, rule-based system that effectively grandfathers existing LSEs. In secondary markets, financial transaction is purely bilateral.</w:t>
            </w:r>
          </w:p>
        </w:tc>
        <w:tc>
          <w:tcPr>
            <w:tcW w:w="34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Payments made to RTO in initial auctions. Revenues distributed to reduce fixed charges.  Thereafter, transactions purely bilateral, based on market prices, not cost.</w:t>
            </w:r>
          </w:p>
        </w:tc>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Payments made to RTO in initial auctions.  Revenues distributed to reduce fixed charges.  Thereafter, transactions purely bilateral, based on market prices, not cost. Capacity purchased based on transaction flow contributions to flowgates.</w:t>
            </w:r>
          </w:p>
        </w:tc>
      </w:tr>
    </w:tbl>
    <w:p>
      <w:pPr>
        <w:pStyle w:val="Normal"/>
        <w:rPr/>
      </w:pPr>
      <w:r>
        <w:rPr/>
      </w:r>
    </w:p>
    <w:p>
      <w:pPr>
        <w:pStyle w:val="Normal"/>
        <w:rPr/>
      </w:pPr>
      <w:r>
        <w:rPr/>
      </w:r>
    </w:p>
    <w:p>
      <w:pPr>
        <w:pStyle w:val="Normal"/>
        <w:rPr/>
      </w:pPr>
      <w:r>
        <w:rPr/>
      </w:r>
    </w:p>
    <w:p>
      <w:pPr>
        <w:pStyle w:val="Normal"/>
        <w:rPr/>
      </w:pPr>
      <w:r>
        <w:rPr/>
      </w:r>
    </w:p>
    <w:tbl>
      <w:tblPr>
        <w:tblW w:w="13320" w:type="dxa"/>
        <w:jc w:val="start"/>
        <w:tblInd w:w="-432" w:type="dxa"/>
        <w:tblLayout w:type="fixed"/>
        <w:tblCellMar>
          <w:top w:w="0" w:type="dxa"/>
          <w:start w:w="108" w:type="dxa"/>
          <w:bottom w:w="0" w:type="dxa"/>
          <w:end w:w="108" w:type="dxa"/>
        </w:tblCellMar>
      </w:tblPr>
      <w:tblGrid>
        <w:gridCol w:w="2646"/>
        <w:gridCol w:w="3564"/>
        <w:gridCol w:w="3420"/>
        <w:gridCol w:w="3690"/>
      </w:tblGrid>
      <w:tr>
        <w:trPr>
          <w:tblHeader w:val="true"/>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rPr>
                <w:rFonts w:ascii="Arial" w:hAnsi="Arial" w:cs="Arial"/>
                <w:b/>
              </w:rPr>
            </w:pPr>
            <w:r>
              <w:rPr>
                <w:rFonts w:cs="Arial" w:ascii="Arial" w:hAnsi="Arial"/>
                <w:b/>
              </w:rPr>
            </w:r>
          </w:p>
        </w:tc>
        <w:tc>
          <w:tcPr>
            <w:tcW w:w="3564"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Nodal</w:t>
            </w:r>
          </w:p>
        </w:tc>
        <w:tc>
          <w:tcPr>
            <w:tcW w:w="342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Zonal</w:t>
            </w:r>
          </w:p>
        </w:tc>
        <w:tc>
          <w:tcPr>
            <w:tcW w:w="369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Flow-based</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rPr>
            </w:pPr>
            <w:r>
              <w:rPr>
                <w:rFonts w:cs="Arial" w:ascii="Arial" w:hAnsi="Arial"/>
              </w:rPr>
              <w:t>Energy Price Calculation</w:t>
            </w:r>
          </w:p>
        </w:tc>
        <w:tc>
          <w:tcPr>
            <w:tcW w:w="356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Calculated by RTO ex-post in all markets (real-time and forward) using OPFs at nodal level. Can create hubs (e.g., PJM Western Hub) or have zonal prices for loads (some form of weighted average nodal prices, as in NY). Time required to solve optimization precludes continuously clearing forward markets.</w:t>
            </w:r>
          </w:p>
        </w:tc>
        <w:tc>
          <w:tcPr>
            <w:tcW w:w="34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Bilaterally-determined ex-ante and continuously in forward markets.</w:t>
            </w:r>
          </w:p>
          <w:p>
            <w:pPr>
              <w:pStyle w:val="Normal"/>
              <w:rPr>
                <w:rFonts w:ascii="Arial" w:hAnsi="Arial" w:cs="Arial"/>
                <w:color w:val="000000"/>
                <w:sz w:val="20"/>
              </w:rPr>
            </w:pPr>
            <w:r>
              <w:rPr>
                <w:rFonts w:cs="Arial" w:ascii="Arial" w:hAnsi="Arial"/>
                <w:color w:val="000000"/>
                <w:sz w:val="20"/>
              </w:rPr>
              <w:t>In real time, derived from zonal inc. and dec. bid stacks in the balancing market.</w:t>
            </w:r>
          </w:p>
          <w:p>
            <w:pPr>
              <w:pStyle w:val="Normal"/>
              <w:rPr>
                <w:rFonts w:ascii="Arial" w:hAnsi="Arial" w:cs="Arial"/>
                <w:color w:val="000000"/>
                <w:sz w:val="20"/>
              </w:rPr>
            </w:pPr>
            <w:r>
              <w:rPr>
                <w:rFonts w:cs="Arial" w:ascii="Arial" w:hAnsi="Arial"/>
                <w:color w:val="000000"/>
                <w:sz w:val="20"/>
              </w:rPr>
              <w:t>Zones determined in several ways:</w:t>
            </w:r>
          </w:p>
          <w:p>
            <w:pPr>
              <w:pStyle w:val="Normal"/>
              <w:numPr>
                <w:ilvl w:val="0"/>
                <w:numId w:val="2"/>
              </w:numPr>
              <w:rPr>
                <w:rFonts w:ascii="Arial" w:hAnsi="Arial" w:cs="Arial"/>
                <w:color w:val="000000"/>
                <w:sz w:val="20"/>
              </w:rPr>
            </w:pPr>
            <w:r>
              <w:rPr>
                <w:rFonts w:cs="Arial" w:ascii="Arial" w:hAnsi="Arial"/>
                <w:color w:val="000000"/>
                <w:sz w:val="20"/>
              </w:rPr>
              <w:t>In radial systems, based on flowgate locations;</w:t>
            </w:r>
          </w:p>
          <w:p>
            <w:pPr>
              <w:pStyle w:val="Normal"/>
              <w:tabs>
                <w:tab w:val="clear" w:pos="720"/>
                <w:tab w:val="left" w:pos="360" w:leader="none"/>
              </w:tabs>
              <w:ind w:hanging="360" w:start="342" w:end="0"/>
              <w:rPr>
                <w:rFonts w:ascii="Arial" w:hAnsi="Arial" w:cs="Arial"/>
                <w:color w:val="000000"/>
                <w:sz w:val="20"/>
              </w:rPr>
            </w:pPr>
            <w:r>
              <w:rPr>
                <w:rFonts w:cs="Arial" w:ascii="Arial" w:hAnsi="Arial"/>
                <w:color w:val="000000"/>
                <w:sz w:val="20"/>
              </w:rPr>
              <w:t>-      In complex grids, based on either distribution factor- or nodal price-clustering.</w:t>
            </w:r>
          </w:p>
        </w:tc>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Bilaterally-determined ex-ante in the forward markets.</w:t>
            </w:r>
          </w:p>
          <w:p>
            <w:pPr>
              <w:pStyle w:val="Normal"/>
              <w:rPr>
                <w:rFonts w:ascii="Arial" w:hAnsi="Arial" w:cs="Arial"/>
                <w:color w:val="000000"/>
                <w:sz w:val="20"/>
              </w:rPr>
            </w:pPr>
            <w:r>
              <w:rPr>
                <w:rFonts w:cs="Arial" w:ascii="Arial" w:hAnsi="Arial"/>
                <w:color w:val="000000"/>
                <w:sz w:val="20"/>
              </w:rPr>
              <w:t>In real time, method may be implemented with either nodal or zonal prices as described in adjoining columns.</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i/>
                <w:i/>
              </w:rPr>
            </w:pPr>
            <w:r>
              <w:rPr>
                <w:rFonts w:cs="Arial" w:ascii="Arial" w:hAnsi="Arial"/>
                <w:i/>
              </w:rPr>
              <w:t>Market Operation</w:t>
            </w:r>
          </w:p>
        </w:tc>
        <w:tc>
          <w:tcPr>
            <w:tcW w:w="3564"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i/>
                <w:i/>
                <w:color w:val="000000"/>
                <w:sz w:val="20"/>
              </w:rPr>
            </w:pPr>
            <w:r>
              <w:rPr>
                <w:rFonts w:cs="Arial" w:ascii="Arial" w:hAnsi="Arial"/>
                <w:i/>
                <w:color w:val="000000"/>
                <w:sz w:val="20"/>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20"/>
              </w:rPr>
            </w:pPr>
            <w:r>
              <w:rPr>
                <w:rFonts w:cs="Arial" w:ascii="Arial" w:hAnsi="Arial"/>
                <w:color w:val="000000"/>
                <w:sz w:val="20"/>
              </w:rPr>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20"/>
              </w:rPr>
            </w:pPr>
            <w:r>
              <w:rPr>
                <w:rFonts w:cs="Arial" w:ascii="Arial" w:hAnsi="Arial"/>
                <w:color w:val="000000"/>
                <w:sz w:val="20"/>
              </w:rPr>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rPr>
            </w:pPr>
            <w:r>
              <w:rPr>
                <w:rFonts w:cs="Arial" w:ascii="Arial" w:hAnsi="Arial"/>
              </w:rPr>
              <w:t>Bid Structure</w:t>
            </w:r>
          </w:p>
        </w:tc>
        <w:tc>
          <w:tcPr>
            <w:tcW w:w="356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Three-part bid (start-up, min. gen, and energy) or one-part bid is used in scheduling time frame (day ahead).  In real-time uses energy and ancillary service bids from day-ahead/hour-ahead markets to balance system.</w:t>
            </w:r>
          </w:p>
        </w:tc>
        <w:tc>
          <w:tcPr>
            <w:tcW w:w="34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No restriction in forward markets, since markets are bilateral. In real-time, single part ancillary service bids and supplemental energy inc. and dec. bids for balancing.</w:t>
            </w:r>
          </w:p>
        </w:tc>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No restriction in forward markets, since markets are bilateral. In real-time, use ancillary service bids and supplemental energy inc. and dec. bids for balancing.</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rPr>
            </w:pPr>
            <w:r>
              <w:rPr>
                <w:rFonts w:cs="Arial" w:ascii="Arial" w:hAnsi="Arial"/>
              </w:rPr>
              <w:t>Forward Markets</w:t>
            </w:r>
          </w:p>
        </w:tc>
        <w:tc>
          <w:tcPr>
            <w:tcW w:w="356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6" w:leader="none"/>
              </w:tabs>
              <w:ind w:hanging="216" w:start="216" w:end="0"/>
              <w:rPr>
                <w:rFonts w:ascii="Arial" w:hAnsi="Arial" w:cs="Arial"/>
                <w:color w:val="000000"/>
                <w:sz w:val="20"/>
              </w:rPr>
            </w:pPr>
            <w:r>
              <w:rPr>
                <w:rFonts w:cs="Arial" w:ascii="Arial" w:hAnsi="Arial"/>
                <w:color w:val="000000"/>
                <w:sz w:val="20"/>
              </w:rPr>
              <w:t>- Transmission: secondary market for FTRs - liquidity an issue, given complexity and non-fungible products. Transfer of FTRs requires RTO involvement.</w:t>
            </w:r>
          </w:p>
          <w:p>
            <w:pPr>
              <w:pStyle w:val="Normal"/>
              <w:numPr>
                <w:ilvl w:val="0"/>
                <w:numId w:val="3"/>
              </w:numPr>
              <w:tabs>
                <w:tab w:val="clear" w:pos="720"/>
                <w:tab w:val="left" w:pos="126" w:leader="none"/>
              </w:tabs>
              <w:ind w:hanging="216" w:start="216" w:end="0"/>
              <w:rPr>
                <w:rFonts w:ascii="Arial" w:hAnsi="Arial" w:cs="Arial"/>
                <w:color w:val="000000"/>
                <w:sz w:val="20"/>
              </w:rPr>
            </w:pPr>
            <w:r>
              <w:rPr>
                <w:rFonts w:cs="Arial" w:ascii="Arial" w:hAnsi="Arial"/>
                <w:color w:val="000000"/>
                <w:sz w:val="20"/>
              </w:rPr>
              <w:t xml:space="preserve">Energy: Centralized, designated markets (day-ahead, hourly) cleared by RTO using bid-based OPF, no requirement to balance schedules. </w:t>
            </w:r>
          </w:p>
        </w:tc>
        <w:tc>
          <w:tcPr>
            <w:tcW w:w="3420" w:type="dxa"/>
            <w:tcBorders>
              <w:top w:val="single" w:sz="6" w:space="0" w:color="000000"/>
              <w:start w:val="single" w:sz="6" w:space="0" w:color="000000"/>
              <w:bottom w:val="single" w:sz="6" w:space="0" w:color="000000"/>
              <w:end w:val="single" w:sz="6" w:space="0" w:color="000000"/>
            </w:tcBorders>
          </w:tcPr>
          <w:p>
            <w:pPr>
              <w:pStyle w:val="Normal"/>
              <w:numPr>
                <w:ilvl w:val="0"/>
                <w:numId w:val="3"/>
              </w:numPr>
              <w:tabs>
                <w:tab w:val="clear" w:pos="720"/>
                <w:tab w:val="left" w:pos="162" w:leader="none"/>
              </w:tabs>
              <w:ind w:hanging="162" w:start="162" w:end="0"/>
              <w:rPr>
                <w:rFonts w:ascii="Arial" w:hAnsi="Arial" w:cs="Arial"/>
                <w:color w:val="000000"/>
                <w:sz w:val="20"/>
              </w:rPr>
            </w:pPr>
            <w:r>
              <w:rPr>
                <w:rFonts w:cs="Arial" w:ascii="Arial" w:hAnsi="Arial"/>
                <w:color w:val="000000"/>
                <w:sz w:val="20"/>
              </w:rPr>
              <w:t>Transmission: Bilateral forward markets available and continuously clearing for commercially significant transmission paths; assures liquid market.</w:t>
            </w:r>
          </w:p>
          <w:p>
            <w:pPr>
              <w:pStyle w:val="Normal"/>
              <w:numPr>
                <w:ilvl w:val="0"/>
                <w:numId w:val="3"/>
              </w:numPr>
              <w:tabs>
                <w:tab w:val="clear" w:pos="720"/>
                <w:tab w:val="left" w:pos="162" w:leader="none"/>
              </w:tabs>
              <w:ind w:hanging="216" w:start="162" w:end="0"/>
              <w:rPr>
                <w:rFonts w:ascii="Arial" w:hAnsi="Arial" w:cs="Arial"/>
                <w:color w:val="000000"/>
                <w:sz w:val="20"/>
              </w:rPr>
            </w:pPr>
            <w:r>
              <w:rPr>
                <w:rFonts w:cs="Arial" w:ascii="Arial" w:hAnsi="Arial"/>
                <w:color w:val="000000"/>
                <w:sz w:val="20"/>
              </w:rPr>
              <w:t>Energy, transmission and ancillary services traded in exchanges (e.g., CA PX) where products are continuously traded and cleared bilaterally up until real-time (however defined). Balanced schedules required to be submitted to dispatcher.</w:t>
            </w:r>
          </w:p>
        </w:tc>
        <w:tc>
          <w:tcPr>
            <w:tcW w:w="3690" w:type="dxa"/>
            <w:tcBorders>
              <w:top w:val="single" w:sz="6" w:space="0" w:color="000000"/>
              <w:start w:val="single" w:sz="6" w:space="0" w:color="000000"/>
              <w:bottom w:val="single" w:sz="6" w:space="0" w:color="000000"/>
              <w:end w:val="single" w:sz="6" w:space="0" w:color="000000"/>
            </w:tcBorders>
          </w:tcPr>
          <w:p>
            <w:pPr>
              <w:pStyle w:val="Normal"/>
              <w:numPr>
                <w:ilvl w:val="0"/>
                <w:numId w:val="3"/>
              </w:numPr>
              <w:tabs>
                <w:tab w:val="clear" w:pos="720"/>
                <w:tab w:val="left" w:pos="162" w:leader="none"/>
              </w:tabs>
              <w:ind w:hanging="162" w:start="162" w:end="0"/>
              <w:rPr>
                <w:rFonts w:ascii="Arial" w:hAnsi="Arial" w:cs="Arial"/>
                <w:color w:val="000000"/>
                <w:sz w:val="20"/>
              </w:rPr>
            </w:pPr>
            <w:r>
              <w:rPr>
                <w:rFonts w:cs="Arial" w:ascii="Arial" w:hAnsi="Arial"/>
                <w:color w:val="000000"/>
                <w:sz w:val="20"/>
              </w:rPr>
              <w:t>Transmission: Bilateral forward markets available and continuously clearing for commercially significant transmission paths; assures liquid market.</w:t>
            </w:r>
          </w:p>
          <w:p>
            <w:pPr>
              <w:pStyle w:val="Normal"/>
              <w:numPr>
                <w:ilvl w:val="0"/>
                <w:numId w:val="3"/>
              </w:numPr>
              <w:tabs>
                <w:tab w:val="clear" w:pos="720"/>
                <w:tab w:val="left" w:pos="162" w:leader="none"/>
              </w:tabs>
              <w:ind w:hanging="216" w:start="162" w:end="0"/>
              <w:rPr>
                <w:rFonts w:ascii="Arial" w:hAnsi="Arial" w:cs="Arial"/>
                <w:color w:val="000000"/>
                <w:sz w:val="20"/>
              </w:rPr>
            </w:pPr>
            <w:r>
              <w:rPr>
                <w:rFonts w:cs="Arial" w:ascii="Arial" w:hAnsi="Arial"/>
                <w:color w:val="000000"/>
                <w:sz w:val="20"/>
              </w:rPr>
              <w:t>Energy, transmission and ancillary services traded in exchanges (e.g., CA PX) where products are continuously traded and cleared bilaterally up until real-time (however defined). Balanced schedules required to be submitted to dispatcher.</w:t>
            </w:r>
          </w:p>
        </w:tc>
      </w:tr>
    </w:tbl>
    <w:p>
      <w:pPr>
        <w:pStyle w:val="Normal"/>
        <w:rPr/>
      </w:pPr>
      <w:r>
        <w:rPr/>
      </w:r>
    </w:p>
    <w:p>
      <w:pPr>
        <w:pStyle w:val="Normal"/>
        <w:rPr/>
      </w:pPr>
      <w:r>
        <w:rPr/>
      </w:r>
    </w:p>
    <w:p>
      <w:pPr>
        <w:pStyle w:val="Normal"/>
        <w:rPr/>
      </w:pPr>
      <w:r>
        <w:rPr/>
      </w:r>
    </w:p>
    <w:tbl>
      <w:tblPr>
        <w:tblW w:w="13320" w:type="dxa"/>
        <w:jc w:val="start"/>
        <w:tblInd w:w="-432" w:type="dxa"/>
        <w:tblLayout w:type="fixed"/>
        <w:tblCellMar>
          <w:top w:w="0" w:type="dxa"/>
          <w:start w:w="108" w:type="dxa"/>
          <w:bottom w:w="0" w:type="dxa"/>
          <w:end w:w="108" w:type="dxa"/>
        </w:tblCellMar>
      </w:tblPr>
      <w:tblGrid>
        <w:gridCol w:w="2646"/>
        <w:gridCol w:w="3564"/>
        <w:gridCol w:w="3420"/>
        <w:gridCol w:w="3690"/>
      </w:tblGrid>
      <w:tr>
        <w:trPr>
          <w:tblHeader w:val="true"/>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rPr>
                <w:rFonts w:ascii="Arial" w:hAnsi="Arial" w:cs="Arial"/>
                <w:b/>
              </w:rPr>
            </w:pPr>
            <w:r>
              <w:rPr>
                <w:rFonts w:cs="Arial" w:ascii="Arial" w:hAnsi="Arial"/>
                <w:b/>
              </w:rPr>
            </w:r>
          </w:p>
        </w:tc>
        <w:tc>
          <w:tcPr>
            <w:tcW w:w="3564"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Nodal</w:t>
            </w:r>
          </w:p>
        </w:tc>
        <w:tc>
          <w:tcPr>
            <w:tcW w:w="342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Zonal</w:t>
            </w:r>
          </w:p>
        </w:tc>
        <w:tc>
          <w:tcPr>
            <w:tcW w:w="369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Flow-based</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i/>
                <w:i/>
              </w:rPr>
            </w:pPr>
            <w:r>
              <w:rPr>
                <w:rFonts w:cs="Arial" w:ascii="Arial" w:hAnsi="Arial"/>
                <w:i/>
              </w:rPr>
              <w:t>Market Operation</w:t>
            </w:r>
          </w:p>
        </w:tc>
        <w:tc>
          <w:tcPr>
            <w:tcW w:w="3564"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i/>
                <w:i/>
                <w:color w:val="000000"/>
                <w:sz w:val="20"/>
              </w:rPr>
            </w:pPr>
            <w:r>
              <w:rPr>
                <w:rFonts w:cs="Arial" w:ascii="Arial" w:hAnsi="Arial"/>
                <w:i/>
                <w:color w:val="000000"/>
                <w:sz w:val="20"/>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20"/>
              </w:rPr>
            </w:pPr>
            <w:r>
              <w:rPr>
                <w:rFonts w:cs="Arial" w:ascii="Arial" w:hAnsi="Arial"/>
                <w:color w:val="000000"/>
                <w:sz w:val="20"/>
              </w:rPr>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20"/>
              </w:rPr>
            </w:pPr>
            <w:r>
              <w:rPr>
                <w:rFonts w:cs="Arial" w:ascii="Arial" w:hAnsi="Arial"/>
                <w:color w:val="000000"/>
                <w:sz w:val="20"/>
              </w:rPr>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rPr>
            </w:pPr>
            <w:r>
              <w:rPr>
                <w:rFonts w:cs="Arial" w:ascii="Arial" w:hAnsi="Arial"/>
              </w:rPr>
              <w:t>Bilateral Activity (energy)</w:t>
            </w:r>
          </w:p>
        </w:tc>
        <w:tc>
          <w:tcPr>
            <w:tcW w:w="356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 xml:space="preserve">Use contracts for differences (CfDs) against pool prices; bid zero or negative into pool to ensure delivery. </w:t>
            </w:r>
          </w:p>
          <w:p>
            <w:pPr>
              <w:pStyle w:val="Normal"/>
              <w:numPr>
                <w:ilvl w:val="0"/>
                <w:numId w:val="3"/>
              </w:numPr>
              <w:rPr>
                <w:rFonts w:ascii="Arial" w:hAnsi="Arial" w:cs="Arial"/>
                <w:color w:val="000000"/>
                <w:sz w:val="20"/>
              </w:rPr>
            </w:pPr>
            <w:r>
              <w:rPr>
                <w:rFonts w:cs="Arial" w:ascii="Arial" w:hAnsi="Arial"/>
                <w:color w:val="000000"/>
                <w:sz w:val="20"/>
              </w:rPr>
              <w:t>Price and FTR complexity can limit liquidity of bilateral trades for delivery</w:t>
            </w:r>
          </w:p>
          <w:p>
            <w:pPr>
              <w:pStyle w:val="Normal"/>
              <w:numPr>
                <w:ilvl w:val="0"/>
                <w:numId w:val="3"/>
              </w:numPr>
              <w:rPr>
                <w:rFonts w:ascii="Arial" w:hAnsi="Arial" w:cs="Arial"/>
                <w:color w:val="000000"/>
                <w:sz w:val="20"/>
              </w:rPr>
            </w:pPr>
            <w:r>
              <w:rPr>
                <w:rFonts w:cs="Arial" w:ascii="Arial" w:hAnsi="Arial"/>
                <w:color w:val="000000"/>
                <w:sz w:val="20"/>
              </w:rPr>
              <w:t>NY and PJM show poor liquidity of contracts for delivery and much difficulty with wheels, imports, and exports.</w:t>
            </w:r>
          </w:p>
        </w:tc>
        <w:tc>
          <w:tcPr>
            <w:tcW w:w="34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 xml:space="preserve">Dominant transaction form continuously traded in independent exchanges. Market simplicity (price and transmission rights) enables high liquidity. </w:t>
            </w:r>
          </w:p>
        </w:tc>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Dominant transaction form continuously traded in independent exchanges. Market simplicity (price and transmission rights) enables high liquidity.</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rPr>
            </w:pPr>
            <w:r>
              <w:rPr>
                <w:rFonts w:cs="Arial" w:ascii="Arial" w:hAnsi="Arial"/>
              </w:rPr>
              <w:t>Real-time Balancing Market/ Dispatch</w:t>
            </w:r>
          </w:p>
        </w:tc>
        <w:tc>
          <w:tcPr>
            <w:tcW w:w="356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Centralized RTO performs real-time security-constrained dispatch, restrictions on external schedules only, deep, liquid spot market.  In NY, real-time prices revised up to 2 weeks ex post.</w:t>
            </w:r>
          </w:p>
        </w:tc>
        <w:tc>
          <w:tcPr>
            <w:tcW w:w="34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Control area level dispatch. Former requires coordination mechanisms among control areas. Real-time market only for balancing.</w:t>
            </w:r>
          </w:p>
        </w:tc>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Dispatch can be at the RTO- or control area-level. Real-time market only for balancing.</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System Expansion</w:t>
            </w:r>
          </w:p>
        </w:tc>
        <w:tc>
          <w:tcPr>
            <w:tcW w:w="3564"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color w:val="000000"/>
                <w:sz w:val="20"/>
              </w:rPr>
            </w:pPr>
            <w:r>
              <w:rPr>
                <w:rFonts w:cs="Arial" w:ascii="Arial" w:hAnsi="Arial"/>
                <w:b/>
                <w:color w:val="000000"/>
                <w:sz w:val="20"/>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20"/>
              </w:rPr>
            </w:pPr>
            <w:r>
              <w:rPr>
                <w:rFonts w:cs="Arial" w:ascii="Arial" w:hAnsi="Arial"/>
                <w:color w:val="000000"/>
                <w:sz w:val="20"/>
              </w:rPr>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20"/>
              </w:rPr>
            </w:pPr>
            <w:r>
              <w:rPr>
                <w:rFonts w:cs="Arial" w:ascii="Arial" w:hAnsi="Arial"/>
                <w:color w:val="000000"/>
                <w:sz w:val="20"/>
              </w:rPr>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i/>
                <w:i/>
              </w:rPr>
            </w:pPr>
            <w:r>
              <w:rPr>
                <w:rFonts w:cs="Arial" w:ascii="Arial" w:hAnsi="Arial"/>
                <w:i/>
              </w:rPr>
              <w:t>Siting New Generation</w:t>
            </w:r>
          </w:p>
        </w:tc>
        <w:tc>
          <w:tcPr>
            <w:tcW w:w="356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 xml:space="preserve">Provides correct price signals for generation, deters creation of ‘local’ congestion. </w:t>
            </w:r>
          </w:p>
        </w:tc>
        <w:tc>
          <w:tcPr>
            <w:tcW w:w="34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 xml:space="preserve">Provides correct signals for generation, but with possibility of increased ‘local’ congestion. </w:t>
            </w:r>
          </w:p>
        </w:tc>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Provides correct price signals for generation.  Potential for ‘local’ congestion dependent on use of nodal vs. zonal real-time pricing.</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i/>
                <w:i/>
              </w:rPr>
            </w:pPr>
            <w:r>
              <w:rPr>
                <w:rFonts w:cs="Arial" w:ascii="Arial" w:hAnsi="Arial"/>
                <w:i/>
              </w:rPr>
              <w:t>Transmission Planning</w:t>
            </w:r>
          </w:p>
        </w:tc>
        <w:tc>
          <w:tcPr>
            <w:tcW w:w="356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Little incentive for transmission investment.</w:t>
            </w:r>
          </w:p>
        </w:tc>
        <w:tc>
          <w:tcPr>
            <w:tcW w:w="34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Transco can be designed to have incentive for transmission investment (e.g., take on risk/ reward of intra-zonal congestion management).</w:t>
            </w:r>
          </w:p>
        </w:tc>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Transco can be designed to have incentive for transmission investment (e.g., take on risk/reward of intra-zonal congestion management).</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FERC Objectives</w:t>
            </w:r>
          </w:p>
        </w:tc>
        <w:tc>
          <w:tcPr>
            <w:tcW w:w="3564"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color w:val="000000"/>
                <w:sz w:val="20"/>
              </w:rPr>
            </w:pPr>
            <w:r>
              <w:rPr>
                <w:rFonts w:cs="Arial" w:ascii="Arial" w:hAnsi="Arial"/>
                <w:b/>
                <w:color w:val="000000"/>
                <w:sz w:val="20"/>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20"/>
              </w:rPr>
            </w:pPr>
            <w:r>
              <w:rPr>
                <w:rFonts w:cs="Arial" w:ascii="Arial" w:hAnsi="Arial"/>
                <w:color w:val="000000"/>
                <w:sz w:val="20"/>
              </w:rPr>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20"/>
              </w:rPr>
            </w:pPr>
            <w:r>
              <w:rPr>
                <w:rFonts w:cs="Arial" w:ascii="Arial" w:hAnsi="Arial"/>
                <w:color w:val="000000"/>
                <w:sz w:val="20"/>
              </w:rPr>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i/>
                <w:i/>
              </w:rPr>
            </w:pPr>
            <w:r>
              <w:rPr>
                <w:rFonts w:cs="Arial" w:ascii="Arial" w:hAnsi="Arial"/>
                <w:i/>
              </w:rPr>
              <w:t>12 RTO Principles</w:t>
            </w:r>
          </w:p>
        </w:tc>
        <w:tc>
          <w:tcPr>
            <w:tcW w:w="356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Conforms with all characteristics and functional requirements.</w:t>
            </w:r>
          </w:p>
        </w:tc>
        <w:tc>
          <w:tcPr>
            <w:tcW w:w="34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Conforms with all characteristics and functional requirements.</w:t>
            </w:r>
          </w:p>
        </w:tc>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Conforms with all characteristics and functional requirements.</w:t>
            </w:r>
          </w:p>
        </w:tc>
      </w:tr>
    </w:tbl>
    <w:p>
      <w:pPr>
        <w:pStyle w:val="Normal"/>
        <w:rPr/>
      </w:pPr>
      <w:r>
        <w:rPr/>
      </w:r>
    </w:p>
    <w:p>
      <w:pPr>
        <w:pStyle w:val="Normal"/>
        <w:rPr/>
      </w:pPr>
      <w:r>
        <w:rPr/>
      </w:r>
    </w:p>
    <w:tbl>
      <w:tblPr>
        <w:tblW w:w="13320" w:type="dxa"/>
        <w:jc w:val="start"/>
        <w:tblInd w:w="-432" w:type="dxa"/>
        <w:tblLayout w:type="fixed"/>
        <w:tblCellMar>
          <w:top w:w="0" w:type="dxa"/>
          <w:start w:w="108" w:type="dxa"/>
          <w:bottom w:w="0" w:type="dxa"/>
          <w:end w:w="108" w:type="dxa"/>
        </w:tblCellMar>
      </w:tblPr>
      <w:tblGrid>
        <w:gridCol w:w="2646"/>
        <w:gridCol w:w="3564"/>
        <w:gridCol w:w="3420"/>
        <w:gridCol w:w="3690"/>
      </w:tblGrid>
      <w:tr>
        <w:trPr>
          <w:tblHeader w:val="true"/>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rPr>
                <w:rFonts w:ascii="Arial" w:hAnsi="Arial" w:cs="Arial"/>
                <w:b/>
              </w:rPr>
            </w:pPr>
            <w:r>
              <w:rPr>
                <w:rFonts w:cs="Arial" w:ascii="Arial" w:hAnsi="Arial"/>
                <w:b/>
              </w:rPr>
            </w:r>
          </w:p>
        </w:tc>
        <w:tc>
          <w:tcPr>
            <w:tcW w:w="3564"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Nodal</w:t>
            </w:r>
          </w:p>
        </w:tc>
        <w:tc>
          <w:tcPr>
            <w:tcW w:w="342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Zonal</w:t>
            </w:r>
          </w:p>
        </w:tc>
        <w:tc>
          <w:tcPr>
            <w:tcW w:w="369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Flow-based</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Institutional Structure</w:t>
            </w:r>
          </w:p>
        </w:tc>
        <w:tc>
          <w:tcPr>
            <w:tcW w:w="3564"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color w:val="000000"/>
                <w:sz w:val="20"/>
              </w:rPr>
            </w:pPr>
            <w:r>
              <w:rPr>
                <w:rFonts w:cs="Arial" w:ascii="Arial" w:hAnsi="Arial"/>
                <w:b/>
                <w:color w:val="000000"/>
                <w:sz w:val="20"/>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20"/>
              </w:rPr>
            </w:pPr>
            <w:r>
              <w:rPr>
                <w:rFonts w:cs="Arial" w:ascii="Arial" w:hAnsi="Arial"/>
                <w:color w:val="000000"/>
                <w:sz w:val="20"/>
              </w:rPr>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20"/>
              </w:rPr>
            </w:pPr>
            <w:r>
              <w:rPr>
                <w:rFonts w:cs="Arial" w:ascii="Arial" w:hAnsi="Arial"/>
                <w:color w:val="000000"/>
                <w:sz w:val="20"/>
              </w:rPr>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i/>
                <w:i/>
              </w:rPr>
            </w:pPr>
            <w:r>
              <w:rPr>
                <w:rFonts w:cs="Arial" w:ascii="Arial" w:hAnsi="Arial"/>
                <w:i/>
              </w:rPr>
              <w:t>RTO Role in Forward Markets</w:t>
            </w:r>
          </w:p>
        </w:tc>
        <w:tc>
          <w:tcPr>
            <w:tcW w:w="3564"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i/>
                <w:i/>
                <w:color w:val="000000"/>
                <w:sz w:val="20"/>
              </w:rPr>
            </w:pPr>
            <w:r>
              <w:rPr>
                <w:rFonts w:cs="Arial" w:ascii="Arial" w:hAnsi="Arial"/>
                <w:i/>
                <w:color w:val="000000"/>
                <w:sz w:val="20"/>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20"/>
              </w:rPr>
            </w:pPr>
            <w:r>
              <w:rPr>
                <w:rFonts w:cs="Arial" w:ascii="Arial" w:hAnsi="Arial"/>
                <w:color w:val="000000"/>
                <w:sz w:val="20"/>
              </w:rPr>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ind w:start="-54" w:end="0"/>
              <w:rPr>
                <w:rFonts w:ascii="Arial" w:hAnsi="Arial" w:cs="Arial"/>
                <w:color w:val="000000"/>
                <w:sz w:val="20"/>
              </w:rPr>
            </w:pPr>
            <w:r>
              <w:rPr>
                <w:rFonts w:cs="Arial" w:ascii="Arial" w:hAnsi="Arial"/>
                <w:color w:val="000000"/>
                <w:sz w:val="20"/>
              </w:rPr>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rPr>
            </w:pPr>
            <w:r>
              <w:rPr>
                <w:rFonts w:cs="Arial" w:ascii="Arial" w:hAnsi="Arial"/>
              </w:rPr>
              <w:t>Transmission</w:t>
            </w:r>
          </w:p>
        </w:tc>
        <w:tc>
          <w:tcPr>
            <w:tcW w:w="3564" w:type="dxa"/>
            <w:tcBorders>
              <w:top w:val="single" w:sz="6" w:space="0" w:color="000000"/>
              <w:start w:val="single" w:sz="6" w:space="0" w:color="000000"/>
              <w:bottom w:val="single" w:sz="6" w:space="0" w:color="000000"/>
              <w:end w:val="single" w:sz="6" w:space="0" w:color="000000"/>
            </w:tcBorders>
          </w:tcPr>
          <w:p>
            <w:pPr>
              <w:pStyle w:val="Normal"/>
              <w:numPr>
                <w:ilvl w:val="0"/>
                <w:numId w:val="3"/>
              </w:numPr>
              <w:rPr>
                <w:rFonts w:ascii="Arial" w:hAnsi="Arial" w:cs="Arial"/>
                <w:color w:val="000000"/>
                <w:sz w:val="20"/>
              </w:rPr>
            </w:pPr>
            <w:r>
              <w:rPr>
                <w:rFonts w:cs="Arial" w:ascii="Arial" w:hAnsi="Arial"/>
                <w:color w:val="000000"/>
                <w:sz w:val="20"/>
              </w:rPr>
              <w:t>Controls and manages market for FTRs including capacity release, auction and secondary market.</w:t>
            </w:r>
          </w:p>
          <w:p>
            <w:pPr>
              <w:pStyle w:val="Normal"/>
              <w:numPr>
                <w:ilvl w:val="0"/>
                <w:numId w:val="3"/>
              </w:numPr>
              <w:rPr>
                <w:rFonts w:ascii="Arial" w:hAnsi="Arial" w:cs="Arial"/>
                <w:color w:val="000000"/>
                <w:sz w:val="20"/>
              </w:rPr>
            </w:pPr>
            <w:r>
              <w:rPr>
                <w:rFonts w:cs="Arial" w:ascii="Arial" w:hAnsi="Arial"/>
                <w:color w:val="000000"/>
                <w:sz w:val="20"/>
              </w:rPr>
              <w:t>Manages single OASIS site.</w:t>
            </w:r>
          </w:p>
        </w:tc>
        <w:tc>
          <w:tcPr>
            <w:tcW w:w="3420" w:type="dxa"/>
            <w:tcBorders>
              <w:top w:val="single" w:sz="6" w:space="0" w:color="000000"/>
              <w:start w:val="single" w:sz="6" w:space="0" w:color="000000"/>
              <w:bottom w:val="single" w:sz="6" w:space="0" w:color="000000"/>
              <w:end w:val="single" w:sz="6" w:space="0" w:color="000000"/>
            </w:tcBorders>
          </w:tcPr>
          <w:p>
            <w:pPr>
              <w:pStyle w:val="Normal"/>
              <w:numPr>
                <w:ilvl w:val="0"/>
                <w:numId w:val="3"/>
              </w:numPr>
              <w:rPr>
                <w:rFonts w:ascii="Arial" w:hAnsi="Arial" w:cs="Arial"/>
                <w:color w:val="000000"/>
                <w:sz w:val="20"/>
              </w:rPr>
            </w:pPr>
            <w:r>
              <w:rPr>
                <w:rFonts w:cs="Arial" w:ascii="Arial" w:hAnsi="Arial"/>
                <w:color w:val="000000"/>
                <w:sz w:val="20"/>
              </w:rPr>
              <w:t>Defines and releases transmission capacity in auctions.</w:t>
            </w:r>
          </w:p>
          <w:p>
            <w:pPr>
              <w:pStyle w:val="Normal"/>
              <w:numPr>
                <w:ilvl w:val="0"/>
                <w:numId w:val="3"/>
              </w:numPr>
              <w:rPr>
                <w:rFonts w:ascii="Arial" w:hAnsi="Arial" w:cs="Arial"/>
                <w:color w:val="000000"/>
                <w:sz w:val="20"/>
              </w:rPr>
            </w:pPr>
            <w:r>
              <w:rPr>
                <w:rFonts w:cs="Arial" w:ascii="Arial" w:hAnsi="Arial"/>
                <w:color w:val="000000"/>
                <w:sz w:val="20"/>
              </w:rPr>
              <w:t>Manages single OASIS site.</w:t>
            </w:r>
          </w:p>
        </w:tc>
        <w:tc>
          <w:tcPr>
            <w:tcW w:w="3690" w:type="dxa"/>
            <w:tcBorders>
              <w:top w:val="single" w:sz="6" w:space="0" w:color="000000"/>
              <w:start w:val="single" w:sz="6" w:space="0" w:color="000000"/>
              <w:bottom w:val="single" w:sz="6" w:space="0" w:color="000000"/>
              <w:end w:val="single" w:sz="6" w:space="0" w:color="000000"/>
            </w:tcBorders>
          </w:tcPr>
          <w:p>
            <w:pPr>
              <w:pStyle w:val="Normal"/>
              <w:numPr>
                <w:ilvl w:val="0"/>
                <w:numId w:val="3"/>
              </w:numPr>
              <w:rPr>
                <w:rFonts w:ascii="Arial" w:hAnsi="Arial" w:cs="Arial"/>
                <w:color w:val="000000"/>
                <w:sz w:val="20"/>
              </w:rPr>
            </w:pPr>
            <w:r>
              <w:rPr>
                <w:rFonts w:cs="Arial" w:ascii="Arial" w:hAnsi="Arial"/>
                <w:color w:val="000000"/>
                <w:sz w:val="20"/>
              </w:rPr>
              <w:t>Defines and releases transmission capacity in auctions.</w:t>
            </w:r>
          </w:p>
          <w:p>
            <w:pPr>
              <w:pStyle w:val="Normal"/>
              <w:numPr>
                <w:ilvl w:val="0"/>
                <w:numId w:val="3"/>
              </w:numPr>
              <w:rPr>
                <w:rFonts w:ascii="Arial" w:hAnsi="Arial" w:cs="Arial"/>
                <w:color w:val="000000"/>
                <w:sz w:val="20"/>
              </w:rPr>
            </w:pPr>
            <w:r>
              <w:rPr>
                <w:rFonts w:cs="Arial" w:ascii="Arial" w:hAnsi="Arial"/>
                <w:color w:val="000000"/>
                <w:sz w:val="20"/>
              </w:rPr>
              <w:t>Manages single OASIS site.</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rPr>
            </w:pPr>
            <w:r>
              <w:rPr>
                <w:rFonts w:eastAsia="Arial" w:cs="Arial" w:ascii="Arial" w:hAnsi="Arial"/>
              </w:rPr>
              <w:t xml:space="preserve">    </w:t>
            </w:r>
            <w:r>
              <w:rPr>
                <w:rFonts w:cs="Arial" w:ascii="Arial" w:hAnsi="Arial"/>
              </w:rPr>
              <w:t>Energy</w:t>
            </w:r>
          </w:p>
        </w:tc>
        <w:tc>
          <w:tcPr>
            <w:tcW w:w="356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Controlling Involvement:</w:t>
            </w:r>
          </w:p>
          <w:p>
            <w:pPr>
              <w:pStyle w:val="Normal"/>
              <w:numPr>
                <w:ilvl w:val="0"/>
                <w:numId w:val="3"/>
              </w:numPr>
              <w:rPr>
                <w:rFonts w:ascii="Arial" w:hAnsi="Arial" w:cs="Arial"/>
                <w:color w:val="000000"/>
                <w:sz w:val="20"/>
              </w:rPr>
            </w:pPr>
            <w:r>
              <w:rPr>
                <w:rFonts w:cs="Arial" w:ascii="Arial" w:hAnsi="Arial"/>
                <w:color w:val="000000"/>
                <w:sz w:val="20"/>
              </w:rPr>
              <w:t>Controls and operates energy market for all settlement periods.</w:t>
            </w:r>
          </w:p>
        </w:tc>
        <w:tc>
          <w:tcPr>
            <w:tcW w:w="34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Minimal:</w:t>
            </w:r>
          </w:p>
          <w:p>
            <w:pPr>
              <w:pStyle w:val="Normal"/>
              <w:rPr>
                <w:rFonts w:ascii="Arial" w:hAnsi="Arial" w:cs="Arial"/>
                <w:color w:val="000000"/>
                <w:sz w:val="20"/>
              </w:rPr>
            </w:pPr>
            <w:r>
              <w:rPr>
                <w:rFonts w:cs="Arial" w:ascii="Arial" w:hAnsi="Arial"/>
                <w:color w:val="000000"/>
                <w:sz w:val="20"/>
              </w:rPr>
              <w:t>- No involvement in energy market, except for real-time balancing.</w:t>
            </w:r>
          </w:p>
        </w:tc>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Minimal:</w:t>
            </w:r>
          </w:p>
          <w:p>
            <w:pPr>
              <w:pStyle w:val="Normal"/>
              <w:ind w:start="-54" w:end="0"/>
              <w:rPr>
                <w:rFonts w:ascii="Arial" w:hAnsi="Arial" w:cs="Arial"/>
                <w:color w:val="000000"/>
                <w:sz w:val="20"/>
              </w:rPr>
            </w:pPr>
            <w:r>
              <w:rPr>
                <w:rFonts w:cs="Arial" w:ascii="Arial" w:hAnsi="Arial"/>
                <w:color w:val="000000"/>
                <w:sz w:val="20"/>
              </w:rPr>
              <w:t>- No involvement in energy market, except for real-time balancing.</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rPr>
            </w:pPr>
            <w:r>
              <w:rPr>
                <w:rFonts w:eastAsia="Arial" w:cs="Arial" w:ascii="Arial" w:hAnsi="Arial"/>
              </w:rPr>
              <w:t xml:space="preserve">    </w:t>
            </w:r>
            <w:r>
              <w:rPr>
                <w:rFonts w:cs="Arial" w:ascii="Arial" w:hAnsi="Arial"/>
              </w:rPr>
              <w:t>Ancillary Services</w:t>
            </w:r>
          </w:p>
        </w:tc>
        <w:tc>
          <w:tcPr>
            <w:tcW w:w="356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Offers all ancillary services, and serves as provider of last resort. Depending on implementation, may offer ancillary services market (reserves and frequency control) separate from or combined with energy market.</w:t>
            </w:r>
          </w:p>
        </w:tc>
        <w:tc>
          <w:tcPr>
            <w:tcW w:w="3420" w:type="dxa"/>
            <w:tcBorders>
              <w:top w:val="single" w:sz="6" w:space="0" w:color="000000"/>
              <w:start w:val="single" w:sz="6" w:space="0" w:color="000000"/>
              <w:bottom w:val="single" w:sz="6" w:space="0" w:color="000000"/>
              <w:end w:val="single" w:sz="6" w:space="0" w:color="000000"/>
            </w:tcBorders>
          </w:tcPr>
          <w:p>
            <w:pPr>
              <w:pStyle w:val="Normal"/>
              <w:numPr>
                <w:ilvl w:val="0"/>
                <w:numId w:val="3"/>
              </w:numPr>
              <w:rPr>
                <w:rFonts w:ascii="Arial" w:hAnsi="Arial" w:cs="Arial"/>
                <w:color w:val="000000"/>
                <w:sz w:val="20"/>
              </w:rPr>
            </w:pPr>
            <w:r>
              <w:rPr>
                <w:rFonts w:cs="Arial" w:ascii="Arial" w:hAnsi="Arial"/>
                <w:color w:val="000000"/>
                <w:sz w:val="20"/>
              </w:rPr>
              <w:t xml:space="preserve">Calculates and posts ancillary service (reserves) and loss requirements. </w:t>
            </w:r>
          </w:p>
          <w:p>
            <w:pPr>
              <w:pStyle w:val="Normal"/>
              <w:numPr>
                <w:ilvl w:val="0"/>
                <w:numId w:val="3"/>
              </w:numPr>
              <w:rPr>
                <w:rFonts w:ascii="Arial" w:hAnsi="Arial" w:cs="Arial"/>
                <w:color w:val="000000"/>
                <w:sz w:val="20"/>
              </w:rPr>
            </w:pPr>
            <w:r>
              <w:rPr>
                <w:rFonts w:cs="Arial" w:ascii="Arial" w:hAnsi="Arial"/>
                <w:color w:val="000000"/>
                <w:sz w:val="20"/>
              </w:rPr>
              <w:t>May purchase ‘call’ contracts in forward markets</w:t>
            </w:r>
          </w:p>
          <w:p>
            <w:pPr>
              <w:pStyle w:val="Normal"/>
              <w:numPr>
                <w:ilvl w:val="0"/>
                <w:numId w:val="3"/>
              </w:numPr>
              <w:rPr>
                <w:rFonts w:ascii="Arial" w:hAnsi="Arial" w:cs="Arial"/>
                <w:color w:val="000000"/>
                <w:sz w:val="20"/>
              </w:rPr>
            </w:pPr>
            <w:r>
              <w:rPr>
                <w:rFonts w:cs="Arial" w:ascii="Arial" w:hAnsi="Arial"/>
                <w:color w:val="000000"/>
                <w:sz w:val="20"/>
              </w:rPr>
              <w:t>Provider of last resort</w:t>
            </w:r>
          </w:p>
          <w:p>
            <w:pPr>
              <w:pStyle w:val="Normal"/>
              <w:rPr>
                <w:rFonts w:ascii="Arial" w:hAnsi="Arial" w:cs="Arial"/>
                <w:color w:val="000000"/>
                <w:sz w:val="20"/>
              </w:rPr>
            </w:pPr>
            <w:r>
              <w:rPr>
                <w:rFonts w:cs="Arial" w:ascii="Arial" w:hAnsi="Arial"/>
                <w:color w:val="000000"/>
                <w:sz w:val="20"/>
              </w:rPr>
            </w:r>
          </w:p>
        </w:tc>
        <w:tc>
          <w:tcPr>
            <w:tcW w:w="3690" w:type="dxa"/>
            <w:tcBorders>
              <w:top w:val="single" w:sz="6" w:space="0" w:color="000000"/>
              <w:start w:val="single" w:sz="6" w:space="0" w:color="000000"/>
              <w:bottom w:val="single" w:sz="6" w:space="0" w:color="000000"/>
              <w:end w:val="single" w:sz="6" w:space="0" w:color="000000"/>
            </w:tcBorders>
          </w:tcPr>
          <w:p>
            <w:pPr>
              <w:pStyle w:val="Normal"/>
              <w:numPr>
                <w:ilvl w:val="0"/>
                <w:numId w:val="3"/>
              </w:numPr>
              <w:rPr>
                <w:rFonts w:ascii="Arial" w:hAnsi="Arial" w:cs="Arial"/>
                <w:color w:val="000000"/>
                <w:sz w:val="20"/>
              </w:rPr>
            </w:pPr>
            <w:r>
              <w:rPr>
                <w:rFonts w:cs="Arial" w:ascii="Arial" w:hAnsi="Arial"/>
                <w:color w:val="000000"/>
                <w:sz w:val="20"/>
              </w:rPr>
              <w:t xml:space="preserve">Calculates and posts ancillary service (reserves) and loss requirements. </w:t>
            </w:r>
          </w:p>
          <w:p>
            <w:pPr>
              <w:pStyle w:val="Normal"/>
              <w:numPr>
                <w:ilvl w:val="0"/>
                <w:numId w:val="3"/>
              </w:numPr>
              <w:rPr>
                <w:rFonts w:ascii="Arial" w:hAnsi="Arial" w:cs="Arial"/>
                <w:color w:val="000000"/>
                <w:sz w:val="20"/>
              </w:rPr>
            </w:pPr>
            <w:r>
              <w:rPr>
                <w:rFonts w:cs="Arial" w:ascii="Arial" w:hAnsi="Arial"/>
                <w:color w:val="000000"/>
                <w:sz w:val="20"/>
              </w:rPr>
              <w:t>May purchase ‘call’ contracts in forward markets</w:t>
            </w:r>
          </w:p>
          <w:p>
            <w:pPr>
              <w:pStyle w:val="Normal"/>
              <w:numPr>
                <w:ilvl w:val="0"/>
                <w:numId w:val="3"/>
              </w:numPr>
              <w:rPr>
                <w:rFonts w:ascii="Arial" w:hAnsi="Arial" w:cs="Arial"/>
                <w:color w:val="000000"/>
                <w:sz w:val="20"/>
              </w:rPr>
            </w:pPr>
            <w:r>
              <w:rPr>
                <w:rFonts w:cs="Arial" w:ascii="Arial" w:hAnsi="Arial"/>
                <w:color w:val="000000"/>
                <w:sz w:val="20"/>
              </w:rPr>
              <w:t>Provider of last resort</w:t>
            </w:r>
          </w:p>
          <w:p>
            <w:pPr>
              <w:pStyle w:val="Normal"/>
              <w:ind w:start="-54" w:end="0"/>
              <w:rPr>
                <w:rFonts w:ascii="Arial" w:hAnsi="Arial" w:cs="Arial"/>
                <w:color w:val="000000"/>
                <w:sz w:val="20"/>
              </w:rPr>
            </w:pPr>
            <w:r>
              <w:rPr>
                <w:rFonts w:cs="Arial" w:ascii="Arial" w:hAnsi="Arial"/>
                <w:color w:val="000000"/>
                <w:sz w:val="20"/>
              </w:rPr>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i/>
                <w:i/>
              </w:rPr>
            </w:pPr>
            <w:r>
              <w:rPr>
                <w:rFonts w:cs="Arial" w:ascii="Arial" w:hAnsi="Arial"/>
                <w:i/>
              </w:rPr>
              <w:t>RTO Role in Real-time</w:t>
            </w:r>
          </w:p>
        </w:tc>
        <w:tc>
          <w:tcPr>
            <w:tcW w:w="356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RTO performs:</w:t>
            </w:r>
          </w:p>
          <w:p>
            <w:pPr>
              <w:pStyle w:val="Normal"/>
              <w:numPr>
                <w:ilvl w:val="0"/>
                <w:numId w:val="3"/>
              </w:numPr>
              <w:rPr>
                <w:rFonts w:ascii="Arial" w:hAnsi="Arial" w:cs="Arial"/>
                <w:color w:val="000000"/>
                <w:sz w:val="20"/>
              </w:rPr>
            </w:pPr>
            <w:r>
              <w:rPr>
                <w:rFonts w:cs="Arial" w:ascii="Arial" w:hAnsi="Arial"/>
                <w:color w:val="000000"/>
                <w:sz w:val="20"/>
              </w:rPr>
              <w:t>Scheduling, system control and dispatch</w:t>
            </w:r>
          </w:p>
          <w:p>
            <w:pPr>
              <w:pStyle w:val="Normal"/>
              <w:numPr>
                <w:ilvl w:val="0"/>
                <w:numId w:val="3"/>
              </w:numPr>
              <w:rPr>
                <w:rFonts w:ascii="Arial" w:hAnsi="Arial" w:cs="Arial"/>
                <w:color w:val="000000"/>
                <w:sz w:val="20"/>
              </w:rPr>
            </w:pPr>
            <w:r>
              <w:rPr>
                <w:rFonts w:cs="Arial" w:ascii="Arial" w:hAnsi="Arial"/>
                <w:color w:val="000000"/>
                <w:sz w:val="20"/>
              </w:rPr>
              <w:t>Reactive supply and voltage support</w:t>
            </w:r>
          </w:p>
          <w:p>
            <w:pPr>
              <w:pStyle w:val="Normal"/>
              <w:numPr>
                <w:ilvl w:val="0"/>
                <w:numId w:val="3"/>
              </w:numPr>
              <w:rPr>
                <w:rFonts w:ascii="Arial" w:hAnsi="Arial" w:cs="Arial"/>
                <w:color w:val="000000"/>
                <w:sz w:val="20"/>
              </w:rPr>
            </w:pPr>
            <w:r>
              <w:rPr>
                <w:rFonts w:cs="Arial" w:ascii="Arial" w:hAnsi="Arial"/>
                <w:color w:val="000000"/>
                <w:sz w:val="20"/>
              </w:rPr>
              <w:t>Regulation and frequency response</w:t>
            </w:r>
          </w:p>
          <w:p>
            <w:pPr>
              <w:pStyle w:val="Normal"/>
              <w:numPr>
                <w:ilvl w:val="0"/>
                <w:numId w:val="3"/>
              </w:numPr>
              <w:rPr>
                <w:rFonts w:ascii="Arial" w:hAnsi="Arial" w:cs="Arial"/>
                <w:color w:val="000000"/>
                <w:sz w:val="20"/>
              </w:rPr>
            </w:pPr>
            <w:r>
              <w:rPr>
                <w:rFonts w:cs="Arial" w:ascii="Arial" w:hAnsi="Arial"/>
                <w:color w:val="000000"/>
                <w:sz w:val="20"/>
              </w:rPr>
              <w:t>Energy imbalance service</w:t>
            </w:r>
          </w:p>
          <w:p>
            <w:pPr>
              <w:pStyle w:val="Normal"/>
              <w:numPr>
                <w:ilvl w:val="0"/>
                <w:numId w:val="3"/>
              </w:numPr>
              <w:rPr>
                <w:rFonts w:ascii="Arial" w:hAnsi="Arial" w:cs="Arial"/>
                <w:color w:val="000000"/>
                <w:sz w:val="20"/>
              </w:rPr>
            </w:pPr>
            <w:r>
              <w:rPr>
                <w:rFonts w:cs="Arial" w:ascii="Arial" w:hAnsi="Arial"/>
                <w:color w:val="000000"/>
                <w:sz w:val="20"/>
              </w:rPr>
              <w:t>Spinning reserve</w:t>
            </w:r>
          </w:p>
          <w:p>
            <w:pPr>
              <w:pStyle w:val="Normal"/>
              <w:numPr>
                <w:ilvl w:val="0"/>
                <w:numId w:val="3"/>
              </w:numPr>
              <w:rPr>
                <w:rFonts w:ascii="Arial" w:hAnsi="Arial" w:cs="Arial"/>
                <w:color w:val="000000"/>
                <w:sz w:val="20"/>
              </w:rPr>
            </w:pPr>
            <w:r>
              <w:rPr>
                <w:rFonts w:cs="Arial" w:ascii="Arial" w:hAnsi="Arial"/>
                <w:color w:val="000000"/>
                <w:sz w:val="20"/>
              </w:rPr>
              <w:t>Supplemental reserve</w:t>
            </w:r>
          </w:p>
        </w:tc>
        <w:tc>
          <w:tcPr>
            <w:tcW w:w="34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In decentralized (multiple control area) dispatch, RTO provides:</w:t>
            </w:r>
          </w:p>
          <w:p>
            <w:pPr>
              <w:pStyle w:val="Normal"/>
              <w:numPr>
                <w:ilvl w:val="0"/>
                <w:numId w:val="3"/>
              </w:numPr>
              <w:rPr>
                <w:rFonts w:ascii="Arial" w:hAnsi="Arial" w:cs="Arial"/>
                <w:color w:val="000000"/>
                <w:sz w:val="20"/>
              </w:rPr>
            </w:pPr>
            <w:r>
              <w:rPr>
                <w:rFonts w:cs="Arial" w:ascii="Arial" w:hAnsi="Arial"/>
                <w:color w:val="000000"/>
                <w:sz w:val="20"/>
              </w:rPr>
              <w:t xml:space="preserve">Information for scheduling to separate control area dispatchers – coordination function. </w:t>
            </w:r>
          </w:p>
          <w:p>
            <w:pPr>
              <w:pStyle w:val="Normal"/>
              <w:numPr>
                <w:ilvl w:val="0"/>
                <w:numId w:val="3"/>
              </w:numPr>
              <w:rPr>
                <w:rFonts w:ascii="Arial" w:hAnsi="Arial" w:cs="Arial"/>
                <w:color w:val="000000"/>
                <w:sz w:val="20"/>
              </w:rPr>
            </w:pPr>
            <w:r>
              <w:rPr>
                <w:rFonts w:cs="Arial" w:ascii="Arial" w:hAnsi="Arial"/>
                <w:color w:val="000000"/>
                <w:sz w:val="20"/>
              </w:rPr>
              <w:t>Balancing market for RTO areas</w:t>
            </w:r>
          </w:p>
          <w:p>
            <w:pPr>
              <w:pStyle w:val="Normal"/>
              <w:ind w:start="-18" w:end="0"/>
              <w:rPr>
                <w:rFonts w:ascii="Arial" w:hAnsi="Arial" w:cs="Arial"/>
                <w:color w:val="000000"/>
                <w:sz w:val="20"/>
              </w:rPr>
            </w:pPr>
            <w:r>
              <w:rPr>
                <w:rFonts w:cs="Arial" w:ascii="Arial" w:hAnsi="Arial"/>
                <w:color w:val="000000"/>
                <w:sz w:val="20"/>
              </w:rPr>
            </w:r>
          </w:p>
          <w:p>
            <w:pPr>
              <w:pStyle w:val="Normal"/>
              <w:ind w:start="-18" w:end="0"/>
              <w:rPr>
                <w:rFonts w:ascii="Arial" w:hAnsi="Arial" w:cs="Arial"/>
                <w:color w:val="000000"/>
                <w:sz w:val="20"/>
              </w:rPr>
            </w:pPr>
            <w:r>
              <w:rPr>
                <w:rFonts w:cs="Arial" w:ascii="Arial" w:hAnsi="Arial"/>
                <w:color w:val="000000"/>
                <w:sz w:val="20"/>
              </w:rPr>
              <w:t>Control area dispatchers perform all other ancillary services.</w:t>
            </w:r>
          </w:p>
        </w:tc>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Role dependent upon the manner in which real-time operations are implemented.</w:t>
            </w:r>
          </w:p>
        </w:tc>
      </w:tr>
      <w:tr>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i/>
                <w:i/>
              </w:rPr>
            </w:pPr>
            <w:r>
              <w:rPr>
                <w:rFonts w:cs="Arial" w:ascii="Arial" w:hAnsi="Arial"/>
                <w:i/>
              </w:rPr>
              <w:t>RTO Structure</w:t>
            </w:r>
          </w:p>
        </w:tc>
        <w:tc>
          <w:tcPr>
            <w:tcW w:w="356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Typically not-for profit ISO. For-profit TransCo possible, but serious conflict of interest issues arise due to operation of energy market and the transmission system.</w:t>
            </w:r>
          </w:p>
        </w:tc>
        <w:tc>
          <w:tcPr>
            <w:tcW w:w="34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Can be an ISO or a for-profit Transco.</w:t>
            </w:r>
          </w:p>
        </w:tc>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Can be an ISO or a for-profit Transco.</w:t>
            </w:r>
          </w:p>
        </w:tc>
      </w:tr>
    </w:tbl>
    <w:p>
      <w:pPr>
        <w:pStyle w:val="Normal"/>
        <w:rPr/>
      </w:pPr>
      <w:r>
        <w:rPr/>
      </w:r>
    </w:p>
    <w:tbl>
      <w:tblPr>
        <w:tblW w:w="13320" w:type="dxa"/>
        <w:jc w:val="start"/>
        <w:tblInd w:w="-432" w:type="dxa"/>
        <w:tblLayout w:type="fixed"/>
        <w:tblCellMar>
          <w:top w:w="0" w:type="dxa"/>
          <w:start w:w="108" w:type="dxa"/>
          <w:bottom w:w="0" w:type="dxa"/>
          <w:end w:w="108" w:type="dxa"/>
        </w:tblCellMar>
      </w:tblPr>
      <w:tblGrid>
        <w:gridCol w:w="2646"/>
        <w:gridCol w:w="3564"/>
        <w:gridCol w:w="3420"/>
        <w:gridCol w:w="3690"/>
      </w:tblGrid>
      <w:tr>
        <w:trPr>
          <w:tblHeader w:val="true"/>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Market Experience</w:t>
            </w:r>
          </w:p>
        </w:tc>
        <w:tc>
          <w:tcPr>
            <w:tcW w:w="3564"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rPr>
            </w:pPr>
            <w:r>
              <w:rPr>
                <w:rFonts w:cs="Arial" w:ascii="Arial" w:hAnsi="Arial"/>
                <w:b/>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rHeight w:val="2856" w:hRule="atLeast"/>
        </w:trPr>
        <w:tc>
          <w:tcPr>
            <w:tcW w:w="2646"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rPr>
                <w:rFonts w:ascii="Arial" w:hAnsi="Arial" w:cs="Arial"/>
              </w:rPr>
            </w:pPr>
            <w:r>
              <w:rPr>
                <w:rFonts w:cs="Arial" w:ascii="Arial" w:hAnsi="Arial"/>
              </w:rPr>
            </w:r>
          </w:p>
        </w:tc>
        <w:tc>
          <w:tcPr>
            <w:tcW w:w="356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PJM - 4/1/98</w:t>
            </w:r>
          </w:p>
          <w:p>
            <w:pPr>
              <w:pStyle w:val="Normal"/>
              <w:rPr>
                <w:rFonts w:ascii="Arial" w:hAnsi="Arial" w:cs="Arial"/>
                <w:color w:val="000000"/>
                <w:sz w:val="20"/>
              </w:rPr>
            </w:pPr>
            <w:r>
              <w:rPr>
                <w:rFonts w:cs="Arial" w:ascii="Arial" w:hAnsi="Arial"/>
                <w:color w:val="000000"/>
                <w:sz w:val="20"/>
              </w:rPr>
              <w:t>NY ISO - 11/18/99 (load-zonal)</w:t>
            </w:r>
          </w:p>
          <w:p>
            <w:pPr>
              <w:pStyle w:val="Normal"/>
              <w:rPr>
                <w:rFonts w:ascii="Arial" w:hAnsi="Arial" w:cs="Arial"/>
                <w:color w:val="000000"/>
                <w:sz w:val="20"/>
              </w:rPr>
            </w:pPr>
            <w:r>
              <w:rPr>
                <w:rFonts w:cs="Arial" w:ascii="Arial" w:hAnsi="Arial"/>
                <w:color w:val="000000"/>
                <w:sz w:val="20"/>
              </w:rPr>
              <w:t>New England (under development)</w:t>
            </w:r>
          </w:p>
          <w:p>
            <w:pPr>
              <w:pStyle w:val="Normal"/>
              <w:rPr>
                <w:rFonts w:ascii="Arial" w:hAnsi="Arial" w:cs="Arial"/>
                <w:color w:val="000000"/>
                <w:sz w:val="20"/>
              </w:rPr>
            </w:pPr>
            <w:r>
              <w:rPr>
                <w:rFonts w:cs="Arial" w:ascii="Arial" w:hAnsi="Arial"/>
                <w:color w:val="000000"/>
                <w:sz w:val="20"/>
              </w:rPr>
              <w:t>New Zealand (no FTRs)</w:t>
            </w:r>
          </w:p>
          <w:p>
            <w:pPr>
              <w:pStyle w:val="Normal"/>
              <w:rPr>
                <w:rFonts w:ascii="Arial" w:hAnsi="Arial" w:cs="Arial"/>
                <w:color w:val="000000"/>
                <w:sz w:val="20"/>
              </w:rPr>
            </w:pPr>
            <w:r>
              <w:rPr>
                <w:rFonts w:cs="Arial" w:ascii="Arial" w:hAnsi="Arial"/>
                <w:color w:val="000000"/>
                <w:sz w:val="20"/>
              </w:rPr>
              <w:t>Peru</w:t>
            </w:r>
          </w:p>
          <w:p>
            <w:pPr>
              <w:pStyle w:val="Normal"/>
              <w:rPr>
                <w:rFonts w:ascii="Arial" w:hAnsi="Arial" w:cs="Arial"/>
                <w:color w:val="000000"/>
                <w:sz w:val="20"/>
              </w:rPr>
            </w:pPr>
            <w:r>
              <w:rPr>
                <w:rFonts w:cs="Arial" w:ascii="Arial" w:hAnsi="Arial"/>
                <w:color w:val="000000"/>
                <w:sz w:val="20"/>
              </w:rPr>
              <w:t>Argentina</w:t>
            </w:r>
          </w:p>
          <w:p>
            <w:pPr>
              <w:pStyle w:val="Normal"/>
              <w:ind w:hanging="576" w:start="576" w:end="0"/>
              <w:rPr>
                <w:rFonts w:ascii="Arial" w:hAnsi="Arial" w:cs="Arial"/>
                <w:color w:val="000000"/>
                <w:sz w:val="20"/>
              </w:rPr>
            </w:pPr>
            <w:r>
              <w:rPr>
                <w:rFonts w:cs="Arial" w:ascii="Arial" w:hAnsi="Arial"/>
                <w:color w:val="000000"/>
                <w:sz w:val="20"/>
              </w:rPr>
              <w:t>Bolivia</w:t>
            </w:r>
          </w:p>
          <w:p>
            <w:pPr>
              <w:pStyle w:val="Normal"/>
              <w:ind w:hanging="576" w:start="576" w:end="0"/>
              <w:rPr>
                <w:rFonts w:ascii="Arial" w:hAnsi="Arial" w:cs="Arial"/>
                <w:color w:val="000000"/>
                <w:sz w:val="20"/>
              </w:rPr>
            </w:pPr>
            <w:r>
              <w:rPr>
                <w:rFonts w:cs="Arial" w:ascii="Arial" w:hAnsi="Arial"/>
                <w:color w:val="000000"/>
                <w:sz w:val="20"/>
              </w:rPr>
              <w:t>Chile</w:t>
            </w:r>
          </w:p>
          <w:p>
            <w:pPr>
              <w:pStyle w:val="Normal"/>
              <w:ind w:hanging="576" w:start="576" w:end="0"/>
              <w:rPr>
                <w:rFonts w:ascii="Arial" w:hAnsi="Arial" w:cs="Arial"/>
                <w:color w:val="000000"/>
                <w:sz w:val="20"/>
              </w:rPr>
            </w:pPr>
            <w:r>
              <w:rPr>
                <w:rFonts w:cs="Arial" w:ascii="Arial" w:hAnsi="Arial"/>
                <w:color w:val="000000"/>
                <w:sz w:val="20"/>
              </w:rPr>
              <w:t>Mexico (proposed)</w:t>
            </w:r>
          </w:p>
          <w:p>
            <w:pPr>
              <w:pStyle w:val="Normal"/>
              <w:ind w:hanging="576" w:start="576" w:end="0"/>
              <w:rPr>
                <w:rFonts w:ascii="Arial" w:hAnsi="Arial" w:cs="Arial"/>
                <w:color w:val="000000"/>
                <w:sz w:val="20"/>
              </w:rPr>
            </w:pPr>
            <w:r>
              <w:rPr>
                <w:rFonts w:cs="Arial" w:ascii="Arial" w:hAnsi="Arial"/>
                <w:color w:val="000000"/>
                <w:sz w:val="20"/>
              </w:rPr>
              <w:t>UK - (abandoning centralized approach in '00)</w:t>
            </w:r>
          </w:p>
          <w:p>
            <w:pPr>
              <w:pStyle w:val="Normal"/>
              <w:ind w:hanging="576" w:start="576" w:end="0"/>
              <w:rPr>
                <w:rFonts w:ascii="Arial" w:hAnsi="Arial" w:cs="Arial"/>
                <w:color w:val="000000"/>
                <w:sz w:val="20"/>
              </w:rPr>
            </w:pPr>
            <w:r>
              <w:rPr>
                <w:rFonts w:cs="Arial" w:ascii="Arial" w:hAnsi="Arial"/>
                <w:color w:val="000000"/>
                <w:sz w:val="20"/>
              </w:rPr>
            </w:r>
          </w:p>
        </w:tc>
        <w:tc>
          <w:tcPr>
            <w:tcW w:w="3420" w:type="dxa"/>
            <w:tcBorders>
              <w:top w:val="single" w:sz="6" w:space="0" w:color="000000"/>
              <w:start w:val="single" w:sz="6" w:space="0" w:color="000000"/>
              <w:bottom w:val="single" w:sz="6" w:space="0" w:color="000000"/>
              <w:end w:val="single" w:sz="6" w:space="0" w:color="000000"/>
            </w:tcBorders>
          </w:tcPr>
          <w:p>
            <w:pPr>
              <w:pStyle w:val="Normal"/>
              <w:ind w:hanging="972" w:start="972" w:end="0"/>
              <w:rPr>
                <w:rFonts w:ascii="Arial" w:hAnsi="Arial" w:cs="Arial"/>
                <w:color w:val="000000"/>
                <w:sz w:val="20"/>
              </w:rPr>
            </w:pPr>
            <w:r>
              <w:rPr>
                <w:rFonts w:cs="Arial" w:ascii="Arial" w:hAnsi="Arial"/>
                <w:color w:val="000000"/>
                <w:sz w:val="20"/>
              </w:rPr>
              <w:t>California - 4/1/98 (zonal-financial)</w:t>
            </w:r>
          </w:p>
          <w:p>
            <w:pPr>
              <w:pStyle w:val="Normal"/>
              <w:ind w:hanging="972" w:start="972" w:end="0"/>
              <w:rPr>
                <w:rFonts w:ascii="Arial" w:hAnsi="Arial" w:cs="Arial"/>
                <w:color w:val="000000"/>
                <w:sz w:val="20"/>
              </w:rPr>
            </w:pPr>
            <w:r>
              <w:rPr>
                <w:rFonts w:cs="Arial" w:ascii="Arial" w:hAnsi="Arial"/>
                <w:color w:val="000000"/>
                <w:sz w:val="20"/>
              </w:rPr>
              <w:t>Mountain West ISA  (proposed zonal)</w:t>
            </w:r>
          </w:p>
          <w:p>
            <w:pPr>
              <w:pStyle w:val="Normal"/>
              <w:ind w:hanging="972" w:start="972" w:end="0"/>
              <w:rPr>
                <w:rFonts w:ascii="Arial" w:hAnsi="Arial" w:cs="Arial"/>
                <w:color w:val="000000"/>
                <w:sz w:val="20"/>
              </w:rPr>
            </w:pPr>
            <w:r>
              <w:rPr>
                <w:rFonts w:cs="Arial" w:ascii="Arial" w:hAnsi="Arial"/>
                <w:color w:val="000000"/>
                <w:sz w:val="20"/>
              </w:rPr>
              <w:t>Desert Star - (proposed flowgate/ zonal)</w:t>
            </w:r>
          </w:p>
          <w:p>
            <w:pPr>
              <w:pStyle w:val="Normal"/>
              <w:ind w:hanging="972" w:start="972" w:end="0"/>
              <w:rPr>
                <w:rFonts w:ascii="Arial" w:hAnsi="Arial" w:cs="Arial"/>
                <w:color w:val="000000"/>
                <w:sz w:val="20"/>
              </w:rPr>
            </w:pPr>
            <w:r>
              <w:rPr>
                <w:rFonts w:cs="Arial" w:ascii="Arial" w:hAnsi="Arial"/>
                <w:color w:val="000000"/>
                <w:sz w:val="20"/>
              </w:rPr>
              <w:t>Australia (state-based zones)</w:t>
            </w:r>
          </w:p>
          <w:p>
            <w:pPr>
              <w:pStyle w:val="Normal"/>
              <w:ind w:hanging="972" w:start="972" w:end="0"/>
              <w:rPr>
                <w:rFonts w:ascii="Arial" w:hAnsi="Arial" w:cs="Arial"/>
                <w:color w:val="000000"/>
                <w:sz w:val="20"/>
              </w:rPr>
            </w:pPr>
            <w:r>
              <w:rPr>
                <w:rFonts w:cs="Arial" w:ascii="Arial" w:hAnsi="Arial"/>
                <w:color w:val="000000"/>
                <w:sz w:val="20"/>
              </w:rPr>
              <w:t>Norway (dynamic zones)</w:t>
            </w:r>
          </w:p>
          <w:p>
            <w:pPr>
              <w:pStyle w:val="Normal"/>
              <w:ind w:hanging="972" w:start="972" w:end="0"/>
              <w:rPr>
                <w:rFonts w:ascii="Arial" w:hAnsi="Arial" w:cs="Arial"/>
                <w:color w:val="000000"/>
                <w:sz w:val="20"/>
              </w:rPr>
            </w:pPr>
            <w:r>
              <w:rPr>
                <w:rFonts w:cs="Arial" w:ascii="Arial" w:hAnsi="Arial"/>
                <w:color w:val="000000"/>
                <w:sz w:val="20"/>
              </w:rPr>
              <w:t>ERCOT - (proposed flowgate/zonal)</w:t>
            </w:r>
          </w:p>
        </w:tc>
        <w:tc>
          <w:tcPr>
            <w:tcW w:w="3690" w:type="dxa"/>
            <w:tcBorders>
              <w:top w:val="single" w:sz="6" w:space="0" w:color="000000"/>
              <w:start w:val="single" w:sz="6" w:space="0" w:color="000000"/>
              <w:bottom w:val="single" w:sz="6" w:space="0" w:color="000000"/>
              <w:end w:val="single" w:sz="6" w:space="0" w:color="000000"/>
            </w:tcBorders>
          </w:tcPr>
          <w:p>
            <w:pPr>
              <w:pStyle w:val="Normal"/>
              <w:ind w:hanging="810" w:start="792" w:end="0"/>
              <w:rPr>
                <w:rFonts w:ascii="Arial" w:hAnsi="Arial" w:cs="Arial"/>
                <w:color w:val="000000"/>
                <w:sz w:val="20"/>
              </w:rPr>
            </w:pPr>
            <w:r>
              <w:rPr>
                <w:rFonts w:cs="Arial" w:ascii="Arial" w:hAnsi="Arial"/>
                <w:color w:val="000000"/>
                <w:sz w:val="20"/>
              </w:rPr>
              <w:t>Desert Star - (proposed flowgate/ zonal)</w:t>
            </w:r>
          </w:p>
          <w:p>
            <w:pPr>
              <w:pStyle w:val="Normal"/>
              <w:ind w:hanging="810" w:start="792" w:end="0"/>
              <w:rPr>
                <w:rFonts w:ascii="Arial" w:hAnsi="Arial" w:cs="Arial"/>
                <w:color w:val="000000"/>
                <w:sz w:val="20"/>
              </w:rPr>
            </w:pPr>
            <w:r>
              <w:rPr>
                <w:rFonts w:cs="Arial" w:ascii="Arial" w:hAnsi="Arial"/>
                <w:color w:val="000000"/>
                <w:sz w:val="20"/>
              </w:rPr>
              <w:t>ERCOT - (proposed flowgate/zonal)</w:t>
            </w:r>
          </w:p>
        </w:tc>
      </w:tr>
    </w:tbl>
    <w:p>
      <w:pPr>
        <w:pStyle w:val="Normal"/>
        <w:rPr/>
      </w:pPr>
      <w:r>
        <w:rPr/>
      </w:r>
    </w:p>
    <w:p>
      <w:pPr>
        <w:pStyle w:val="Normal"/>
        <w:rPr>
          <w:b/>
        </w:rPr>
      </w:pPr>
      <w:r>
        <w:rPr>
          <w:b/>
        </w:rPr>
        <w:t>Acronyms:</w:t>
      </w:r>
    </w:p>
    <w:p>
      <w:pPr>
        <w:pStyle w:val="Normal"/>
        <w:rPr>
          <w:b/>
        </w:rPr>
      </w:pPr>
      <w:r>
        <w:rPr>
          <w:b/>
        </w:rPr>
      </w:r>
    </w:p>
    <w:p>
      <w:pPr>
        <w:pStyle w:val="Normal"/>
        <w:rPr/>
      </w:pPr>
      <w:r>
        <w:rPr/>
        <w:t>FTR: Financial Transmission Right</w:t>
        <w:tab/>
        <w:tab/>
        <w:tab/>
        <w:tab/>
      </w:r>
    </w:p>
    <w:p>
      <w:pPr>
        <w:pStyle w:val="Normal"/>
        <w:rPr/>
      </w:pPr>
      <w:r>
        <w:rPr/>
        <w:t>CA PX: California Power Exchange</w:t>
      </w:r>
    </w:p>
    <w:p>
      <w:pPr>
        <w:pStyle w:val="Normal"/>
        <w:rPr/>
      </w:pPr>
      <w:r>
        <w:rPr/>
        <w:t>ISO: Independent System Operator</w:t>
        <w:tab/>
      </w:r>
    </w:p>
    <w:p>
      <w:pPr>
        <w:pStyle w:val="Normal"/>
        <w:rPr/>
      </w:pPr>
      <w:r>
        <w:rPr/>
        <w:t>ISA: Independent Scheduling Administrator</w:t>
      </w:r>
    </w:p>
    <w:p>
      <w:pPr>
        <w:pStyle w:val="Normal"/>
        <w:rPr/>
      </w:pPr>
      <w:r>
        <w:rPr/>
        <w:t>RTO: Regional Transmission Operator</w:t>
      </w:r>
    </w:p>
    <w:p>
      <w:pPr>
        <w:pStyle w:val="Normal"/>
        <w:rPr/>
      </w:pPr>
      <w:r>
        <w:rPr/>
        <w:t>OPF: Optimal Power Flow</w:t>
      </w:r>
    </w:p>
    <w:p>
      <w:pPr>
        <w:pStyle w:val="Header"/>
        <w:tabs>
          <w:tab w:val="clear" w:pos="4320"/>
          <w:tab w:val="clear" w:pos="8640"/>
        </w:tabs>
        <w:rPr/>
      </w:pPr>
      <w:r>
        <w:rPr/>
        <w:t>CfD: Contract for Differences</w:t>
        <w:tab/>
      </w:r>
    </w:p>
    <w:p>
      <w:pPr>
        <w:pStyle w:val="Normal"/>
        <w:rPr/>
      </w:pPr>
      <w:r>
        <w:rPr/>
      </w:r>
    </w:p>
    <w:p>
      <w:pPr>
        <w:pStyle w:val="Normal"/>
        <w:rPr>
          <w:b/>
        </w:rPr>
      </w:pPr>
      <w:r>
        <w:rPr>
          <w:b/>
        </w:rPr>
        <w:t>Definition:</w:t>
      </w:r>
    </w:p>
    <w:p>
      <w:pPr>
        <w:pStyle w:val="Normal"/>
        <w:rPr>
          <w:b/>
        </w:rPr>
      </w:pPr>
      <w:r>
        <w:rPr>
          <w:b/>
        </w:rPr>
      </w:r>
    </w:p>
    <w:p>
      <w:pPr>
        <w:pStyle w:val="Normal"/>
        <w:rPr/>
      </w:pPr>
      <w:r>
        <w:rPr/>
        <w:t>Granularity:  The level of detail captured in the pricing / modeling structure.  Nodal systems such as PJM and New York have a higher level of granularity – are more fine grained – than are zonal systems, such as California.</w:t>
      </w:r>
      <w:r>
        <w:br w:type="page"/>
      </w:r>
    </w:p>
    <w:p>
      <w:pPr>
        <w:pStyle w:val="Normal"/>
        <w:rPr/>
      </w:pPr>
      <w:r>
        <w:rPr/>
      </w:r>
    </w:p>
    <w:p>
      <w:pPr>
        <w:pStyle w:val="Normal"/>
        <w:tabs>
          <w:tab w:val="clear" w:pos="720"/>
          <w:tab w:val="left" w:pos="2214" w:leader="none"/>
          <w:tab w:val="left" w:pos="5778" w:leader="none"/>
          <w:tab w:val="left" w:pos="9198" w:leader="none"/>
          <w:tab w:val="left" w:pos="12888" w:leader="none"/>
        </w:tabs>
        <w:ind w:start="-432" w:end="0"/>
        <w:rPr>
          <w:rFonts w:ascii="Arial" w:hAnsi="Arial" w:cs="Arial"/>
          <w:b/>
        </w:rPr>
      </w:pPr>
      <w:r>
        <w:rPr>
          <w:rFonts w:cs="Arial" w:ascii="Arial" w:hAnsi="Arial"/>
          <w:b/>
        </w:rPr>
        <w:t>SPP Objectives - Comparison of CM Schemes</w:t>
      </w:r>
    </w:p>
    <w:p>
      <w:pPr>
        <w:pStyle w:val="Normal"/>
        <w:tabs>
          <w:tab w:val="clear" w:pos="720"/>
          <w:tab w:val="left" w:pos="2214" w:leader="none"/>
          <w:tab w:val="left" w:pos="5778" w:leader="none"/>
          <w:tab w:val="left" w:pos="9198" w:leader="none"/>
          <w:tab w:val="left" w:pos="12888" w:leader="none"/>
        </w:tabs>
        <w:ind w:start="-432" w:end="0"/>
        <w:rPr>
          <w:rFonts w:ascii="Arial" w:hAnsi="Arial" w:cs="Arial"/>
          <w:b/>
        </w:rPr>
      </w:pPr>
      <w:r>
        <w:rPr>
          <w:rFonts w:cs="Arial" w:ascii="Arial" w:hAnsi="Arial"/>
          <w:b/>
        </w:rPr>
      </w:r>
    </w:p>
    <w:p>
      <w:pPr>
        <w:pStyle w:val="Normal"/>
        <w:numPr>
          <w:ilvl w:val="0"/>
          <w:numId w:val="1"/>
        </w:numPr>
        <w:tabs>
          <w:tab w:val="clear" w:pos="720"/>
          <w:tab w:val="left" w:pos="2214" w:leader="none"/>
          <w:tab w:val="left" w:pos="5778" w:leader="none"/>
          <w:tab w:val="left" w:pos="9198" w:leader="none"/>
          <w:tab w:val="left" w:pos="12888" w:leader="none"/>
        </w:tabs>
        <w:rPr>
          <w:rFonts w:ascii="Arial" w:hAnsi="Arial" w:cs="Arial"/>
          <w:color w:val="000000"/>
          <w:sz w:val="20"/>
        </w:rPr>
      </w:pPr>
      <w:r>
        <w:rPr>
          <w:rFonts w:cs="Arial" w:ascii="Arial" w:hAnsi="Arial"/>
        </w:rPr>
        <w:t>Efficient Use of Existing Assets</w:t>
      </w:r>
    </w:p>
    <w:p>
      <w:pPr>
        <w:pStyle w:val="Normal"/>
        <w:tabs>
          <w:tab w:val="clear" w:pos="720"/>
          <w:tab w:val="left" w:pos="450" w:leader="none"/>
          <w:tab w:val="left" w:pos="5778" w:leader="none"/>
          <w:tab w:val="left" w:pos="9198" w:leader="none"/>
          <w:tab w:val="left" w:pos="12888" w:leader="none"/>
        </w:tabs>
        <w:ind w:start="360" w:end="0"/>
        <w:rPr>
          <w:color w:val="000000"/>
        </w:rPr>
      </w:pPr>
      <w:r>
        <w:rPr>
          <w:color w:val="000000"/>
        </w:rPr>
        <w:t>Comparable across CM schemes.</w:t>
      </w:r>
    </w:p>
    <w:p>
      <w:pPr>
        <w:pStyle w:val="Normal"/>
        <w:tabs>
          <w:tab w:val="clear" w:pos="720"/>
          <w:tab w:val="left" w:pos="450" w:leader="none"/>
          <w:tab w:val="left" w:pos="5778" w:leader="none"/>
          <w:tab w:val="left" w:pos="9198" w:leader="none"/>
          <w:tab w:val="left" w:pos="12888" w:leader="none"/>
        </w:tabs>
        <w:ind w:start="360" w:end="0"/>
        <w:rPr>
          <w:color w:val="000000"/>
        </w:rPr>
      </w:pPr>
      <w:r>
        <w:rPr>
          <w:color w:val="000000"/>
        </w:rPr>
      </w:r>
    </w:p>
    <w:p>
      <w:pPr>
        <w:pStyle w:val="Normal"/>
        <w:numPr>
          <w:ilvl w:val="0"/>
          <w:numId w:val="1"/>
        </w:numPr>
        <w:tabs>
          <w:tab w:val="clear" w:pos="720"/>
          <w:tab w:val="left" w:pos="2214" w:leader="none"/>
          <w:tab w:val="left" w:pos="5778" w:leader="none"/>
          <w:tab w:val="left" w:pos="9198" w:leader="none"/>
          <w:tab w:val="left" w:pos="12888" w:leader="none"/>
        </w:tabs>
        <w:rPr>
          <w:sz w:val="20"/>
        </w:rPr>
      </w:pPr>
      <w:r>
        <w:rPr>
          <w:rFonts w:cs="Arial" w:ascii="Arial" w:hAnsi="Arial"/>
        </w:rPr>
        <w:t>Efficient Signals for New Investments (transmission &amp; generation)</w:t>
      </w:r>
    </w:p>
    <w:p>
      <w:pPr>
        <w:pStyle w:val="Normal"/>
        <w:tabs>
          <w:tab w:val="clear" w:pos="720"/>
          <w:tab w:val="left" w:pos="450" w:leader="none"/>
          <w:tab w:val="left" w:pos="5778" w:leader="none"/>
          <w:tab w:val="left" w:pos="9198" w:leader="none"/>
          <w:tab w:val="left" w:pos="12888" w:leader="none"/>
        </w:tabs>
        <w:ind w:start="360" w:end="0"/>
        <w:rPr>
          <w:color w:val="000000"/>
        </w:rPr>
      </w:pPr>
      <w:r>
        <w:rPr>
          <w:color w:val="000000"/>
        </w:rPr>
        <w:t>Comparable efficiency for siting generation. Nodal offers higher granularity, but with appropriate flowgate selection, the zonal and flowgate approaches offer equivalent efficiency. ISO institutional structure provides little incentive for transmission investments. The zonal/flowgate could be implemented with a for-profit Transco, which could can better accomodate incentives to invest in transmission (e.g., by bearing the risks/rewards of intra-zonal congestion management). Nodal would be difficult to implement with a Transco, due to the conflict of interest inherent in running an energy market.</w:t>
      </w:r>
    </w:p>
    <w:p>
      <w:pPr>
        <w:pStyle w:val="Normal"/>
        <w:tabs>
          <w:tab w:val="clear" w:pos="720"/>
          <w:tab w:val="left" w:pos="450" w:leader="none"/>
          <w:tab w:val="left" w:pos="5778" w:leader="none"/>
          <w:tab w:val="left" w:pos="9198" w:leader="none"/>
          <w:tab w:val="left" w:pos="12888" w:leader="none"/>
        </w:tabs>
        <w:ind w:start="360" w:end="0"/>
        <w:rPr>
          <w:color w:val="000000"/>
        </w:rPr>
      </w:pPr>
      <w:r>
        <w:rPr>
          <w:color w:val="000000"/>
        </w:rPr>
      </w:r>
    </w:p>
    <w:p>
      <w:pPr>
        <w:pStyle w:val="Normal"/>
        <w:tabs>
          <w:tab w:val="clear" w:pos="720"/>
          <w:tab w:val="left" w:pos="2214" w:leader="none"/>
          <w:tab w:val="left" w:pos="5778" w:leader="none"/>
          <w:tab w:val="left" w:pos="9198" w:leader="none"/>
          <w:tab w:val="left" w:pos="12888" w:leader="none"/>
        </w:tabs>
        <w:rPr>
          <w:color w:val="000000"/>
          <w:sz w:val="20"/>
        </w:rPr>
      </w:pPr>
      <w:r>
        <w:rPr>
          <w:color w:val="000000"/>
          <w:sz w:val="20"/>
        </w:rPr>
      </w:r>
    </w:p>
    <w:p>
      <w:pPr>
        <w:pStyle w:val="Normal"/>
        <w:numPr>
          <w:ilvl w:val="0"/>
          <w:numId w:val="1"/>
        </w:numPr>
        <w:tabs>
          <w:tab w:val="clear" w:pos="720"/>
          <w:tab w:val="left" w:pos="2214" w:leader="none"/>
          <w:tab w:val="left" w:pos="5778" w:leader="none"/>
          <w:tab w:val="left" w:pos="9198" w:leader="none"/>
          <w:tab w:val="left" w:pos="12888" w:leader="none"/>
        </w:tabs>
        <w:rPr>
          <w:sz w:val="20"/>
        </w:rPr>
      </w:pPr>
      <w:r>
        <w:rPr>
          <w:rFonts w:cs="Arial" w:ascii="Arial" w:hAnsi="Arial"/>
        </w:rPr>
        <w:t>Efficient real-time price signals</w:t>
      </w:r>
    </w:p>
    <w:p>
      <w:pPr>
        <w:pStyle w:val="Normal"/>
        <w:tabs>
          <w:tab w:val="clear" w:pos="720"/>
          <w:tab w:val="left" w:pos="450" w:leader="none"/>
          <w:tab w:val="left" w:pos="5778" w:leader="none"/>
          <w:tab w:val="left" w:pos="9198" w:leader="none"/>
          <w:tab w:val="left" w:pos="12888" w:leader="none"/>
        </w:tabs>
        <w:ind w:start="360" w:end="0"/>
        <w:rPr>
          <w:color w:val="000000"/>
        </w:rPr>
      </w:pPr>
      <w:r>
        <w:rPr>
          <w:color w:val="000000"/>
        </w:rPr>
        <w:t>Comparable across CM schemes. Nodal would have more efficient (least-cost) real-time dispatch, due to use of a system-wide OPF. In the zonal approach, the real-time market is only a balancing market, consisting of a very small percentage of overall transactions. Inefficiencies in dispatch could arise in rare, emergency-type situations. The flowgate approach is indifferent to the implementation of the real-time market.</w:t>
      </w:r>
    </w:p>
    <w:p>
      <w:pPr>
        <w:pStyle w:val="Normal"/>
        <w:tabs>
          <w:tab w:val="clear" w:pos="720"/>
          <w:tab w:val="left" w:pos="450" w:leader="none"/>
          <w:tab w:val="left" w:pos="5778" w:leader="none"/>
          <w:tab w:val="left" w:pos="9198" w:leader="none"/>
          <w:tab w:val="left" w:pos="12888" w:leader="none"/>
        </w:tabs>
        <w:ind w:start="360" w:end="0"/>
        <w:rPr>
          <w:color w:val="000000"/>
        </w:rPr>
      </w:pPr>
      <w:r>
        <w:rPr>
          <w:color w:val="000000"/>
        </w:rPr>
      </w:r>
    </w:p>
    <w:p>
      <w:pPr>
        <w:pStyle w:val="Normal"/>
        <w:tabs>
          <w:tab w:val="clear" w:pos="720"/>
          <w:tab w:val="left" w:pos="2214" w:leader="none"/>
          <w:tab w:val="left" w:pos="5778" w:leader="none"/>
          <w:tab w:val="left" w:pos="9198" w:leader="none"/>
          <w:tab w:val="left" w:pos="12888" w:leader="none"/>
        </w:tabs>
        <w:rPr>
          <w:color w:val="000000"/>
          <w:sz w:val="20"/>
        </w:rPr>
      </w:pPr>
      <w:r>
        <w:rPr>
          <w:color w:val="000000"/>
          <w:sz w:val="20"/>
        </w:rPr>
      </w:r>
    </w:p>
    <w:p>
      <w:pPr>
        <w:pStyle w:val="Normal"/>
        <w:numPr>
          <w:ilvl w:val="0"/>
          <w:numId w:val="1"/>
        </w:numPr>
        <w:tabs>
          <w:tab w:val="clear" w:pos="720"/>
          <w:tab w:val="left" w:pos="2214" w:leader="none"/>
          <w:tab w:val="left" w:pos="5778" w:leader="none"/>
          <w:tab w:val="left" w:pos="9198" w:leader="none"/>
          <w:tab w:val="left" w:pos="12888" w:leader="none"/>
        </w:tabs>
        <w:rPr>
          <w:rFonts w:ascii="Arial" w:hAnsi="Arial" w:cs="Arial"/>
          <w:color w:val="000000"/>
          <w:sz w:val="20"/>
        </w:rPr>
      </w:pPr>
      <w:r>
        <w:rPr>
          <w:rFonts w:cs="Arial" w:ascii="Arial" w:hAnsi="Arial"/>
        </w:rPr>
        <w:t>Fair Risk Allocation</w:t>
      </w:r>
    </w:p>
    <w:p>
      <w:pPr>
        <w:pStyle w:val="Normal"/>
        <w:tabs>
          <w:tab w:val="clear" w:pos="720"/>
          <w:tab w:val="left" w:pos="450" w:leader="none"/>
          <w:tab w:val="left" w:pos="5778" w:leader="none"/>
          <w:tab w:val="left" w:pos="9198" w:leader="none"/>
          <w:tab w:val="left" w:pos="12888" w:leader="none"/>
        </w:tabs>
        <w:ind w:start="360" w:end="0"/>
        <w:rPr>
          <w:color w:val="000000"/>
        </w:rPr>
      </w:pPr>
      <w:r>
        <w:rPr>
          <w:color w:val="000000"/>
        </w:rPr>
        <w:t xml:space="preserve">In the nodal approach, market participants bear a high degree of transmission risk. That is, the price granularity exposes the user to the price impacts of every possible physical system characteristic and operator action. For example, loads at the same location can pay totally different prices due to properties of the grid. In the zonal approach, users are shielded from this risk. However, market participants do bear the risk of socialized congestion costs in the event of significant intra-zonal congestion. This would only arise if previously undefined (between rights auctions) flowgates experience significant congestion.  This is mitigated by annual definitions and auctions of flowgate rights. </w:t>
      </w:r>
    </w:p>
    <w:p>
      <w:pPr>
        <w:pStyle w:val="Normal"/>
        <w:tabs>
          <w:tab w:val="clear" w:pos="720"/>
          <w:tab w:val="left" w:pos="450" w:leader="none"/>
          <w:tab w:val="left" w:pos="5778" w:leader="none"/>
          <w:tab w:val="left" w:pos="9198" w:leader="none"/>
          <w:tab w:val="left" w:pos="12888" w:leader="none"/>
        </w:tabs>
        <w:ind w:start="360" w:end="0"/>
        <w:rPr>
          <w:color w:val="000000"/>
        </w:rPr>
      </w:pPr>
      <w:r>
        <w:rPr>
          <w:color w:val="000000"/>
        </w:rPr>
      </w:r>
    </w:p>
    <w:p>
      <w:pPr>
        <w:pStyle w:val="Normal"/>
        <w:tabs>
          <w:tab w:val="clear" w:pos="720"/>
          <w:tab w:val="left" w:pos="2214" w:leader="none"/>
          <w:tab w:val="left" w:pos="5778" w:leader="none"/>
          <w:tab w:val="left" w:pos="9198" w:leader="none"/>
          <w:tab w:val="left" w:pos="12888" w:leader="none"/>
        </w:tabs>
        <w:rPr>
          <w:rFonts w:ascii="Arial" w:hAnsi="Arial" w:cs="Arial"/>
          <w:color w:val="000000"/>
          <w:sz w:val="20"/>
        </w:rPr>
      </w:pPr>
      <w:r>
        <w:rPr>
          <w:rFonts w:cs="Arial" w:ascii="Arial" w:hAnsi="Arial"/>
          <w:color w:val="000000"/>
          <w:sz w:val="20"/>
        </w:rPr>
      </w:r>
    </w:p>
    <w:p>
      <w:pPr>
        <w:pStyle w:val="Normal"/>
        <w:tabs>
          <w:tab w:val="clear" w:pos="720"/>
          <w:tab w:val="left" w:pos="2214" w:leader="none"/>
          <w:tab w:val="left" w:pos="5778" w:leader="none"/>
          <w:tab w:val="left" w:pos="9198" w:leader="none"/>
          <w:tab w:val="left" w:pos="12888" w:leader="none"/>
        </w:tabs>
        <w:rPr>
          <w:rFonts w:ascii="Arial" w:hAnsi="Arial" w:cs="Arial"/>
          <w:color w:val="000000"/>
          <w:sz w:val="20"/>
        </w:rPr>
      </w:pPr>
      <w:r>
        <w:rPr>
          <w:rFonts w:cs="Arial" w:ascii="Arial" w:hAnsi="Arial"/>
          <w:color w:val="000000"/>
          <w:sz w:val="20"/>
        </w:rPr>
      </w:r>
    </w:p>
    <w:p>
      <w:pPr>
        <w:pStyle w:val="Normal"/>
        <w:tabs>
          <w:tab w:val="clear" w:pos="720"/>
          <w:tab w:val="left" w:pos="2214" w:leader="none"/>
          <w:tab w:val="left" w:pos="5778" w:leader="none"/>
          <w:tab w:val="left" w:pos="9198" w:leader="none"/>
          <w:tab w:val="left" w:pos="12888" w:leader="none"/>
        </w:tabs>
        <w:rPr>
          <w:rFonts w:ascii="Arial" w:hAnsi="Arial" w:cs="Arial"/>
          <w:color w:val="000000"/>
          <w:sz w:val="20"/>
        </w:rPr>
      </w:pPr>
      <w:r>
        <w:rPr>
          <w:rFonts w:cs="Arial" w:ascii="Arial" w:hAnsi="Arial"/>
          <w:color w:val="000000"/>
          <w:sz w:val="20"/>
        </w:rPr>
        <w:tab/>
        <w:tab/>
      </w:r>
    </w:p>
    <w:p>
      <w:pPr>
        <w:pStyle w:val="Normal"/>
        <w:numPr>
          <w:ilvl w:val="0"/>
          <w:numId w:val="1"/>
        </w:numPr>
        <w:tabs>
          <w:tab w:val="clear" w:pos="720"/>
          <w:tab w:val="left" w:pos="2214" w:leader="none"/>
          <w:tab w:val="left" w:pos="5778" w:leader="none"/>
          <w:tab w:val="left" w:pos="9198" w:leader="none"/>
          <w:tab w:val="left" w:pos="12888" w:leader="none"/>
        </w:tabs>
        <w:rPr>
          <w:rFonts w:ascii="Arial" w:hAnsi="Arial" w:cs="Arial"/>
          <w:color w:val="000000"/>
          <w:sz w:val="20"/>
        </w:rPr>
      </w:pPr>
      <w:r>
        <w:rPr>
          <w:rFonts w:cs="Arial" w:ascii="Arial" w:hAnsi="Arial"/>
        </w:rPr>
        <w:t>Lowest Cost</w:t>
      </w:r>
    </w:p>
    <w:p>
      <w:pPr>
        <w:pStyle w:val="Normal"/>
        <w:tabs>
          <w:tab w:val="clear" w:pos="720"/>
          <w:tab w:val="left" w:pos="450" w:leader="none"/>
          <w:tab w:val="left" w:pos="5778" w:leader="none"/>
          <w:tab w:val="left" w:pos="9198" w:leader="none"/>
          <w:tab w:val="left" w:pos="12888" w:leader="none"/>
        </w:tabs>
        <w:ind w:start="360" w:end="0"/>
        <w:rPr>
          <w:color w:val="000000"/>
        </w:rPr>
      </w:pPr>
      <w:r>
        <w:rPr>
          <w:color w:val="000000"/>
        </w:rPr>
        <w:t>In the short-run, the administrative, operating and capital investment costs to centralize the 17 control areas of SPP would be prohibitive. A flow-based approach can preserve existing control areas and would minimize the role, and therefore the set-up and operating costs, of an RTO.  Indirect costs (to wholesale market participants and ultimately to retail participants) are also higher in a nodal approach due to the learning curve associated with a bid-based, centralized pool.</w:t>
      </w:r>
    </w:p>
    <w:p>
      <w:pPr>
        <w:pStyle w:val="Normal"/>
        <w:tabs>
          <w:tab w:val="clear" w:pos="720"/>
          <w:tab w:val="left" w:pos="450" w:leader="none"/>
          <w:tab w:val="left" w:pos="5778" w:leader="none"/>
          <w:tab w:val="left" w:pos="9198" w:leader="none"/>
          <w:tab w:val="left" w:pos="12888" w:leader="none"/>
        </w:tabs>
        <w:ind w:start="360" w:end="0"/>
        <w:rPr>
          <w:color w:val="000000"/>
        </w:rPr>
      </w:pPr>
      <w:r>
        <w:rPr>
          <w:color w:val="000000"/>
        </w:rPr>
      </w:r>
    </w:p>
    <w:p>
      <w:pPr>
        <w:pStyle w:val="Normal"/>
        <w:tabs>
          <w:tab w:val="clear" w:pos="720"/>
          <w:tab w:val="left" w:pos="2214" w:leader="none"/>
          <w:tab w:val="left" w:pos="5778" w:leader="none"/>
          <w:tab w:val="left" w:pos="9198" w:leader="none"/>
          <w:tab w:val="left" w:pos="12888" w:leader="none"/>
        </w:tabs>
        <w:rPr/>
      </w:pPr>
      <w:r>
        <w:rPr>
          <w:rFonts w:cs="Arial" w:ascii="Arial" w:hAnsi="Arial"/>
        </w:rPr>
        <w:tab/>
      </w:r>
      <w:r>
        <w:rPr>
          <w:rFonts w:cs="Arial" w:ascii="Arial" w:hAnsi="Arial"/>
          <w:color w:val="000000"/>
          <w:sz w:val="20"/>
        </w:rPr>
        <w:tab/>
        <w:tab/>
      </w:r>
    </w:p>
    <w:p>
      <w:pPr>
        <w:pStyle w:val="Normal"/>
        <w:numPr>
          <w:ilvl w:val="0"/>
          <w:numId w:val="1"/>
        </w:numPr>
        <w:tabs>
          <w:tab w:val="clear" w:pos="720"/>
          <w:tab w:val="left" w:pos="2214" w:leader="none"/>
          <w:tab w:val="left" w:pos="5778" w:leader="none"/>
          <w:tab w:val="left" w:pos="9198" w:leader="none"/>
          <w:tab w:val="left" w:pos="12888" w:leader="none"/>
        </w:tabs>
        <w:rPr>
          <w:rFonts w:ascii="Arial" w:hAnsi="Arial" w:cs="Arial"/>
          <w:color w:val="000000"/>
          <w:sz w:val="20"/>
        </w:rPr>
      </w:pPr>
      <w:r>
        <w:rPr>
          <w:rFonts w:cs="Arial" w:ascii="Arial" w:hAnsi="Arial"/>
        </w:rPr>
        <w:t xml:space="preserve">Forward Market Liquidity – </w:t>
      </w:r>
      <w:r>
        <w:rPr>
          <w:rFonts w:cs="Arial" w:ascii="Arial" w:hAnsi="Arial"/>
          <w:i/>
        </w:rPr>
        <w:t>Ex-Ante</w:t>
      </w:r>
      <w:r>
        <w:rPr>
          <w:rFonts w:cs="Arial" w:ascii="Arial" w:hAnsi="Arial"/>
        </w:rPr>
        <w:t xml:space="preserve"> v. </w:t>
      </w:r>
      <w:r>
        <w:rPr>
          <w:rFonts w:cs="Arial" w:ascii="Arial" w:hAnsi="Arial"/>
          <w:i/>
        </w:rPr>
        <w:t xml:space="preserve">Ex-Post </w:t>
      </w:r>
      <w:r>
        <w:rPr>
          <w:rFonts w:cs="Arial" w:ascii="Arial" w:hAnsi="Arial"/>
        </w:rPr>
        <w:t>Pricing</w:t>
      </w:r>
    </w:p>
    <w:p>
      <w:pPr>
        <w:pStyle w:val="Normal"/>
        <w:tabs>
          <w:tab w:val="clear" w:pos="720"/>
          <w:tab w:val="left" w:pos="450" w:leader="none"/>
          <w:tab w:val="left" w:pos="5778" w:leader="none"/>
          <w:tab w:val="left" w:pos="9198" w:leader="none"/>
          <w:tab w:val="left" w:pos="12888" w:leader="none"/>
        </w:tabs>
        <w:ind w:start="360" w:end="0"/>
        <w:rPr/>
      </w:pPr>
      <w:r>
        <w:rPr>
          <w:color w:val="000000"/>
        </w:rPr>
        <w:t xml:space="preserve">In the nodal approach, the complexity of transmission rights (point-to-point between thousands of nodes) reduces liquidity for FTRs in the secondary market, and therefore impedes bilateral trading in forward markets. This effectively restricts the bulk of activity to an </w:t>
      </w:r>
      <w:r>
        <w:rPr>
          <w:i/>
          <w:color w:val="000000"/>
        </w:rPr>
        <w:t>ex-post</w:t>
      </w:r>
      <w:r>
        <w:rPr>
          <w:color w:val="000000"/>
        </w:rPr>
        <w:t xml:space="preserve">, real time market. The zonal and flowgate approaches provide </w:t>
      </w:r>
      <w:r>
        <w:rPr>
          <w:i/>
          <w:color w:val="000000"/>
        </w:rPr>
        <w:t>ex-ante</w:t>
      </w:r>
      <w:r>
        <w:rPr>
          <w:color w:val="000000"/>
        </w:rPr>
        <w:t xml:space="preserve"> pricing in continuously traded energy and transmission markets, which deal with few prices and flowgates. The bulk of activity in these approaches will take place in forward markets.</w:t>
      </w:r>
    </w:p>
    <w:p>
      <w:pPr>
        <w:pStyle w:val="Normal"/>
        <w:tabs>
          <w:tab w:val="clear" w:pos="720"/>
          <w:tab w:val="left" w:pos="450" w:leader="none"/>
          <w:tab w:val="left" w:pos="5778" w:leader="none"/>
          <w:tab w:val="left" w:pos="9198" w:leader="none"/>
          <w:tab w:val="left" w:pos="12888" w:leader="none"/>
        </w:tabs>
        <w:ind w:start="360" w:end="0"/>
        <w:rPr>
          <w:color w:val="000000"/>
        </w:rPr>
      </w:pPr>
      <w:r>
        <w:rPr>
          <w:color w:val="000000"/>
        </w:rPr>
      </w:r>
    </w:p>
    <w:p>
      <w:pPr>
        <w:pStyle w:val="Normal"/>
        <w:tabs>
          <w:tab w:val="clear" w:pos="720"/>
          <w:tab w:val="left" w:pos="2214" w:leader="none"/>
          <w:tab w:val="left" w:pos="5778" w:leader="none"/>
          <w:tab w:val="left" w:pos="9198" w:leader="none"/>
          <w:tab w:val="left" w:pos="12888" w:leader="none"/>
        </w:tabs>
        <w:rPr/>
      </w:pPr>
      <w:r>
        <w:rPr>
          <w:rFonts w:cs="Arial" w:ascii="Arial" w:hAnsi="Arial"/>
        </w:rPr>
        <w:tab/>
      </w:r>
      <w:r>
        <w:rPr>
          <w:rFonts w:cs="Arial" w:ascii="Arial" w:hAnsi="Arial"/>
          <w:color w:val="000000"/>
          <w:sz w:val="20"/>
        </w:rPr>
        <w:tab/>
        <w:tab/>
      </w:r>
    </w:p>
    <w:p>
      <w:pPr>
        <w:pStyle w:val="Normal"/>
        <w:numPr>
          <w:ilvl w:val="0"/>
          <w:numId w:val="1"/>
        </w:numPr>
        <w:tabs>
          <w:tab w:val="clear" w:pos="720"/>
          <w:tab w:val="left" w:pos="2214" w:leader="none"/>
          <w:tab w:val="left" w:pos="5778" w:leader="none"/>
          <w:tab w:val="left" w:pos="9198" w:leader="none"/>
          <w:tab w:val="left" w:pos="12888" w:leader="none"/>
        </w:tabs>
        <w:rPr>
          <w:rFonts w:ascii="Arial" w:hAnsi="Arial" w:cs="Arial"/>
          <w:color w:val="000000"/>
          <w:sz w:val="20"/>
        </w:rPr>
      </w:pPr>
      <w:r>
        <w:rPr>
          <w:rFonts w:cs="Arial" w:ascii="Arial" w:hAnsi="Arial"/>
        </w:rPr>
        <w:t>Price Certainty</w:t>
        <w:tab/>
      </w:r>
      <w:r>
        <w:rPr>
          <w:rFonts w:cs="Arial" w:ascii="Arial" w:hAnsi="Arial"/>
          <w:color w:val="000000"/>
          <w:sz w:val="20"/>
        </w:rPr>
        <w:tab/>
        <w:tab/>
      </w:r>
    </w:p>
    <w:p>
      <w:pPr>
        <w:pStyle w:val="Normal"/>
        <w:tabs>
          <w:tab w:val="clear" w:pos="720"/>
          <w:tab w:val="left" w:pos="450" w:leader="none"/>
          <w:tab w:val="left" w:pos="5778" w:leader="none"/>
          <w:tab w:val="left" w:pos="9198" w:leader="none"/>
          <w:tab w:val="left" w:pos="12888" w:leader="none"/>
        </w:tabs>
        <w:ind w:start="360" w:end="0"/>
        <w:rPr>
          <w:color w:val="000000"/>
        </w:rPr>
      </w:pPr>
      <w:r>
        <w:rPr>
          <w:color w:val="000000"/>
        </w:rPr>
        <w:t>The liquidity in forward markets provides price certainty to traders. This is more likely to be present in the zonal and flowgate approaches than in the nodal approach. The zonal approach has the added element of certainty provided by node aggregation, since market participants are shielded from unnecessary and unpredictable price volatility over which they have no control and for which there is no economic response. This is particularly beneficial with retail competition, where market participants will face less transmission and price risk in managing dynamic portfolios.  It should be noted that “price hubs” such as PJM west are an acknowledgement that market liquidity can only exist at a finite (and small) number of points.  PJM has been able to support only a single liquid energy (and transmission) pricing market as opposed to transactions at the 1600 LMP nodes.</w:t>
      </w:r>
    </w:p>
    <w:p>
      <w:pPr>
        <w:pStyle w:val="Normal"/>
        <w:tabs>
          <w:tab w:val="clear" w:pos="720"/>
          <w:tab w:val="left" w:pos="450" w:leader="none"/>
          <w:tab w:val="left" w:pos="5778" w:leader="none"/>
          <w:tab w:val="left" w:pos="9198" w:leader="none"/>
          <w:tab w:val="left" w:pos="12888" w:leader="none"/>
        </w:tabs>
        <w:ind w:start="360" w:end="0"/>
        <w:rPr>
          <w:color w:val="000000"/>
        </w:rPr>
      </w:pPr>
      <w:r>
        <w:rPr>
          <w:color w:val="000000"/>
        </w:rPr>
      </w:r>
    </w:p>
    <w:p>
      <w:pPr>
        <w:pStyle w:val="Normal"/>
        <w:tabs>
          <w:tab w:val="clear" w:pos="720"/>
          <w:tab w:val="left" w:pos="2214" w:leader="none"/>
          <w:tab w:val="left" w:pos="5778" w:leader="none"/>
          <w:tab w:val="left" w:pos="9198" w:leader="none"/>
          <w:tab w:val="left" w:pos="12888" w:leader="none"/>
        </w:tabs>
        <w:rPr>
          <w:rFonts w:ascii="Arial" w:hAnsi="Arial" w:cs="Arial"/>
          <w:color w:val="000000"/>
          <w:sz w:val="20"/>
        </w:rPr>
      </w:pPr>
      <w:r>
        <w:rPr>
          <w:rFonts w:cs="Arial" w:ascii="Arial" w:hAnsi="Arial"/>
          <w:color w:val="000000"/>
          <w:sz w:val="20"/>
        </w:rPr>
      </w:r>
    </w:p>
    <w:p>
      <w:pPr>
        <w:pStyle w:val="Normal"/>
        <w:numPr>
          <w:ilvl w:val="0"/>
          <w:numId w:val="1"/>
        </w:numPr>
        <w:tabs>
          <w:tab w:val="clear" w:pos="720"/>
          <w:tab w:val="left" w:pos="2214" w:leader="none"/>
          <w:tab w:val="left" w:pos="5778" w:leader="none"/>
          <w:tab w:val="left" w:pos="9198" w:leader="none"/>
          <w:tab w:val="left" w:pos="12888" w:leader="none"/>
        </w:tabs>
        <w:rPr>
          <w:rFonts w:ascii="Arial" w:hAnsi="Arial" w:cs="Arial"/>
          <w:color w:val="000000"/>
          <w:sz w:val="20"/>
        </w:rPr>
      </w:pPr>
      <w:r>
        <w:rPr>
          <w:rFonts w:cs="Arial" w:ascii="Arial" w:hAnsi="Arial"/>
        </w:rPr>
        <w:t>Timely Implementation</w:t>
        <w:tab/>
      </w:r>
      <w:r>
        <w:rPr>
          <w:rFonts w:cs="Arial" w:ascii="Arial" w:hAnsi="Arial"/>
          <w:color w:val="000000"/>
          <w:sz w:val="20"/>
        </w:rPr>
        <w:tab/>
        <w:tab/>
      </w:r>
    </w:p>
    <w:p>
      <w:pPr>
        <w:pStyle w:val="Normal"/>
        <w:tabs>
          <w:tab w:val="clear" w:pos="720"/>
          <w:tab w:val="left" w:pos="450" w:leader="none"/>
          <w:tab w:val="left" w:pos="5778" w:leader="none"/>
          <w:tab w:val="left" w:pos="9198" w:leader="none"/>
          <w:tab w:val="left" w:pos="12888" w:leader="none"/>
        </w:tabs>
        <w:ind w:start="360" w:end="0"/>
        <w:rPr>
          <w:color w:val="000000"/>
        </w:rPr>
      </w:pPr>
      <w:r>
        <w:rPr>
          <w:color w:val="000000"/>
        </w:rPr>
        <w:t>Centralization of 17 control areas within SPP's expected time frame  (as would be required in the nodal approach) is virtually impossible. A flow-based or zonal approach that preserves control area-level dispatch in a hierarchical format can allow timely implementation, with the ability to create zones or nodal regions, if appropriate, in the future. In the zonal approach, the coincidence of control areas and zones would ease implementation.</w:t>
      </w:r>
    </w:p>
    <w:p>
      <w:pPr>
        <w:pStyle w:val="Normal"/>
        <w:tabs>
          <w:tab w:val="clear" w:pos="720"/>
          <w:tab w:val="left" w:pos="2214" w:leader="none"/>
          <w:tab w:val="left" w:pos="5778" w:leader="none"/>
          <w:tab w:val="left" w:pos="9198" w:leader="none"/>
          <w:tab w:val="left" w:pos="12888" w:leader="none"/>
        </w:tabs>
        <w:rPr>
          <w:rFonts w:ascii="Arial" w:hAnsi="Arial" w:cs="Arial"/>
          <w:color w:val="000000"/>
          <w:sz w:val="20"/>
        </w:rPr>
      </w:pPr>
      <w:r>
        <w:rPr>
          <w:rFonts w:cs="Arial" w:ascii="Arial" w:hAnsi="Arial"/>
          <w:color w:val="000000"/>
          <w:sz w:val="20"/>
        </w:rPr>
      </w:r>
    </w:p>
    <w:p>
      <w:pPr>
        <w:pStyle w:val="Normal"/>
        <w:numPr>
          <w:ilvl w:val="0"/>
          <w:numId w:val="1"/>
        </w:numPr>
        <w:tabs>
          <w:tab w:val="clear" w:pos="720"/>
          <w:tab w:val="left" w:pos="2214" w:leader="none"/>
          <w:tab w:val="left" w:pos="5778" w:leader="none"/>
          <w:tab w:val="left" w:pos="9198" w:leader="none"/>
          <w:tab w:val="left" w:pos="12888" w:leader="none"/>
        </w:tabs>
        <w:rPr>
          <w:rFonts w:ascii="Arial" w:hAnsi="Arial" w:cs="Arial"/>
          <w:color w:val="000000"/>
          <w:sz w:val="20"/>
        </w:rPr>
      </w:pPr>
      <w:r>
        <w:rPr>
          <w:rFonts w:cs="Arial" w:ascii="Arial" w:hAnsi="Arial"/>
        </w:rPr>
        <w:t>Market-based Congestion Management</w:t>
        <w:tab/>
      </w:r>
      <w:r>
        <w:rPr>
          <w:rFonts w:cs="Arial" w:ascii="Arial" w:hAnsi="Arial"/>
          <w:color w:val="000000"/>
          <w:sz w:val="20"/>
        </w:rPr>
        <w:tab/>
        <w:tab/>
      </w:r>
    </w:p>
    <w:p>
      <w:pPr>
        <w:pStyle w:val="Normal"/>
        <w:tabs>
          <w:tab w:val="clear" w:pos="720"/>
          <w:tab w:val="left" w:pos="450" w:leader="none"/>
          <w:tab w:val="left" w:pos="5778" w:leader="none"/>
          <w:tab w:val="left" w:pos="9198" w:leader="none"/>
          <w:tab w:val="left" w:pos="12888" w:leader="none"/>
        </w:tabs>
        <w:ind w:start="360" w:end="0"/>
        <w:rPr>
          <w:color w:val="000000"/>
        </w:rPr>
      </w:pPr>
      <w:r>
        <w:rPr>
          <w:color w:val="000000"/>
        </w:rPr>
        <w:t>Comparable across CM schemes in principle. However, the potential absence of liquidity in forward markets in the nodal approach impedes development of wholesale, and eventually retail, energy markets.</w:t>
      </w:r>
    </w:p>
    <w:p>
      <w:pPr>
        <w:pStyle w:val="Normal"/>
        <w:tabs>
          <w:tab w:val="clear" w:pos="720"/>
          <w:tab w:val="left" w:pos="450" w:leader="none"/>
          <w:tab w:val="left" w:pos="5778" w:leader="none"/>
          <w:tab w:val="left" w:pos="9198" w:leader="none"/>
          <w:tab w:val="left" w:pos="12888" w:leader="none"/>
        </w:tabs>
        <w:ind w:start="360" w:end="0"/>
        <w:rPr>
          <w:color w:val="000000"/>
        </w:rPr>
      </w:pPr>
      <w:r>
        <w:rPr>
          <w:color w:val="000000"/>
        </w:rPr>
      </w:r>
    </w:p>
    <w:p>
      <w:pPr>
        <w:pStyle w:val="Normal"/>
        <w:tabs>
          <w:tab w:val="clear" w:pos="720"/>
          <w:tab w:val="left" w:pos="2214" w:leader="none"/>
          <w:tab w:val="left" w:pos="5778" w:leader="none"/>
          <w:tab w:val="left" w:pos="9198" w:leader="none"/>
          <w:tab w:val="left" w:pos="12888" w:leader="none"/>
        </w:tabs>
        <w:rPr>
          <w:rFonts w:ascii="Arial" w:hAnsi="Arial" w:cs="Arial"/>
          <w:color w:val="000000"/>
          <w:sz w:val="20"/>
        </w:rPr>
      </w:pPr>
      <w:r>
        <w:rPr>
          <w:rFonts w:cs="Arial" w:ascii="Arial" w:hAnsi="Arial"/>
          <w:color w:val="000000"/>
          <w:sz w:val="20"/>
        </w:rPr>
      </w:r>
    </w:p>
    <w:p>
      <w:pPr>
        <w:pStyle w:val="Normal"/>
        <w:numPr>
          <w:ilvl w:val="0"/>
          <w:numId w:val="1"/>
        </w:numPr>
        <w:tabs>
          <w:tab w:val="clear" w:pos="720"/>
          <w:tab w:val="left" w:pos="2214" w:leader="none"/>
          <w:tab w:val="left" w:pos="5778" w:leader="none"/>
          <w:tab w:val="left" w:pos="9198" w:leader="none"/>
          <w:tab w:val="left" w:pos="12888" w:leader="none"/>
        </w:tabs>
        <w:rPr>
          <w:rFonts w:ascii="Arial" w:hAnsi="Arial" w:cs="Arial"/>
          <w:color w:val="000000"/>
          <w:sz w:val="20"/>
        </w:rPr>
      </w:pPr>
      <w:r>
        <w:rPr>
          <w:rFonts w:cs="Arial" w:ascii="Arial" w:hAnsi="Arial"/>
        </w:rPr>
        <w:t>Flexibility and Responsiveness to Market Needs</w:t>
        <w:tab/>
      </w:r>
      <w:r>
        <w:rPr>
          <w:rFonts w:cs="Arial" w:ascii="Arial" w:hAnsi="Arial"/>
          <w:color w:val="000000"/>
          <w:sz w:val="20"/>
        </w:rPr>
        <w:tab/>
        <w:tab/>
      </w:r>
    </w:p>
    <w:p>
      <w:pPr>
        <w:pStyle w:val="Normal"/>
        <w:tabs>
          <w:tab w:val="clear" w:pos="720"/>
          <w:tab w:val="left" w:pos="450" w:leader="none"/>
          <w:tab w:val="left" w:pos="5778" w:leader="none"/>
          <w:tab w:val="left" w:pos="9198" w:leader="none"/>
          <w:tab w:val="left" w:pos="12888" w:leader="none"/>
        </w:tabs>
        <w:ind w:start="360" w:end="0"/>
        <w:rPr>
          <w:color w:val="000000"/>
        </w:rPr>
      </w:pPr>
      <w:r>
        <w:rPr>
          <w:color w:val="000000"/>
        </w:rPr>
        <w:t>The nodal approach is a one-size-fits-all approach. Centralization of control areas will be required, and the RTO will have to operate the energy market. The flow-based and zonal approaches allow a step-wise and flexible design.</w:t>
      </w:r>
    </w:p>
    <w:p>
      <w:pPr>
        <w:pStyle w:val="Normal"/>
        <w:tabs>
          <w:tab w:val="clear" w:pos="720"/>
          <w:tab w:val="left" w:pos="450" w:leader="none"/>
          <w:tab w:val="left" w:pos="5778" w:leader="none"/>
          <w:tab w:val="left" w:pos="9198" w:leader="none"/>
          <w:tab w:val="left" w:pos="12888" w:leader="none"/>
        </w:tabs>
        <w:ind w:start="360" w:end="0"/>
        <w:rPr>
          <w:color w:val="000000"/>
        </w:rPr>
      </w:pPr>
      <w:r>
        <w:rPr>
          <w:color w:val="000000"/>
        </w:rPr>
      </w:r>
    </w:p>
    <w:p>
      <w:pPr>
        <w:pStyle w:val="Normal"/>
        <w:tabs>
          <w:tab w:val="clear" w:pos="720"/>
          <w:tab w:val="left" w:pos="2214" w:leader="none"/>
          <w:tab w:val="left" w:pos="5778" w:leader="none"/>
          <w:tab w:val="left" w:pos="9198" w:leader="none"/>
          <w:tab w:val="left" w:pos="12888" w:leader="none"/>
        </w:tabs>
        <w:rPr>
          <w:rFonts w:ascii="Arial" w:hAnsi="Arial" w:cs="Arial"/>
          <w:color w:val="000000"/>
          <w:sz w:val="20"/>
        </w:rPr>
      </w:pPr>
      <w:r>
        <w:rPr>
          <w:rFonts w:cs="Arial" w:ascii="Arial" w:hAnsi="Arial"/>
          <w:color w:val="000000"/>
          <w:sz w:val="20"/>
        </w:rPr>
      </w:r>
    </w:p>
    <w:p>
      <w:pPr>
        <w:pStyle w:val="Normal"/>
        <w:numPr>
          <w:ilvl w:val="0"/>
          <w:numId w:val="1"/>
        </w:numPr>
        <w:tabs>
          <w:tab w:val="clear" w:pos="720"/>
          <w:tab w:val="left" w:pos="2214" w:leader="none"/>
          <w:tab w:val="left" w:pos="5778" w:leader="none"/>
          <w:tab w:val="left" w:pos="9198" w:leader="none"/>
          <w:tab w:val="left" w:pos="12888" w:leader="none"/>
        </w:tabs>
        <w:rPr>
          <w:rFonts w:ascii="Arial" w:hAnsi="Arial" w:cs="Arial"/>
          <w:color w:val="000000"/>
          <w:sz w:val="20"/>
        </w:rPr>
      </w:pPr>
      <w:r>
        <w:rPr>
          <w:rFonts w:cs="Arial" w:ascii="Arial" w:hAnsi="Arial"/>
        </w:rPr>
        <w:t>Integration with Market Settlement System</w:t>
        <w:tab/>
      </w:r>
      <w:r>
        <w:rPr>
          <w:rFonts w:cs="Arial" w:ascii="Arial" w:hAnsi="Arial"/>
          <w:color w:val="000000"/>
          <w:sz w:val="20"/>
        </w:rPr>
        <w:tab/>
        <w:tab/>
      </w:r>
    </w:p>
    <w:p>
      <w:pPr>
        <w:pStyle w:val="Normal"/>
        <w:tabs>
          <w:tab w:val="clear" w:pos="720"/>
          <w:tab w:val="left" w:pos="450" w:leader="none"/>
          <w:tab w:val="left" w:pos="5778" w:leader="none"/>
          <w:tab w:val="left" w:pos="9198" w:leader="none"/>
          <w:tab w:val="left" w:pos="12888" w:leader="none"/>
        </w:tabs>
        <w:ind w:start="360" w:end="0"/>
        <w:rPr>
          <w:color w:val="000000"/>
        </w:rPr>
      </w:pPr>
      <w:r>
        <w:rPr>
          <w:color w:val="000000"/>
        </w:rPr>
        <w:t>Comparable across CM schemes.</w:t>
      </w:r>
    </w:p>
    <w:p>
      <w:pPr>
        <w:pStyle w:val="Normal"/>
        <w:tabs>
          <w:tab w:val="clear" w:pos="720"/>
          <w:tab w:val="left" w:pos="450" w:leader="none"/>
          <w:tab w:val="left" w:pos="5778" w:leader="none"/>
          <w:tab w:val="left" w:pos="9198" w:leader="none"/>
          <w:tab w:val="left" w:pos="12888" w:leader="none"/>
        </w:tabs>
        <w:ind w:start="360" w:end="0"/>
        <w:rPr>
          <w:color w:val="000000"/>
        </w:rPr>
      </w:pPr>
      <w:r>
        <w:rPr>
          <w:color w:val="000000"/>
        </w:rPr>
      </w:r>
    </w:p>
    <w:p>
      <w:pPr>
        <w:pStyle w:val="Normal"/>
        <w:tabs>
          <w:tab w:val="clear" w:pos="720"/>
          <w:tab w:val="left" w:pos="2214" w:leader="none"/>
          <w:tab w:val="left" w:pos="5778" w:leader="none"/>
          <w:tab w:val="left" w:pos="9198" w:leader="none"/>
          <w:tab w:val="left" w:pos="12888" w:leader="none"/>
        </w:tabs>
        <w:rPr>
          <w:rFonts w:ascii="Arial" w:hAnsi="Arial" w:cs="Arial"/>
          <w:color w:val="000000"/>
          <w:sz w:val="20"/>
        </w:rPr>
      </w:pPr>
      <w:r>
        <w:rPr>
          <w:rFonts w:cs="Arial" w:ascii="Arial" w:hAnsi="Arial"/>
          <w:color w:val="000000"/>
          <w:sz w:val="20"/>
        </w:rPr>
      </w:r>
    </w:p>
    <w:p>
      <w:pPr>
        <w:pStyle w:val="Normal"/>
        <w:numPr>
          <w:ilvl w:val="0"/>
          <w:numId w:val="1"/>
        </w:numPr>
        <w:tabs>
          <w:tab w:val="clear" w:pos="720"/>
          <w:tab w:val="left" w:pos="2214" w:leader="none"/>
          <w:tab w:val="left" w:pos="5778" w:leader="none"/>
          <w:tab w:val="left" w:pos="9198" w:leader="none"/>
          <w:tab w:val="left" w:pos="12888" w:leader="none"/>
        </w:tabs>
        <w:rPr>
          <w:rFonts w:ascii="Arial" w:hAnsi="Arial" w:cs="Arial"/>
          <w:color w:val="000000"/>
          <w:sz w:val="20"/>
        </w:rPr>
      </w:pPr>
      <w:r>
        <w:rPr>
          <w:rFonts w:cs="Arial" w:ascii="Arial" w:hAnsi="Arial"/>
        </w:rPr>
        <w:t>Compatibility with Retail Competition</w:t>
        <w:tab/>
      </w:r>
      <w:r>
        <w:rPr>
          <w:rFonts w:cs="Arial" w:ascii="Arial" w:hAnsi="Arial"/>
          <w:color w:val="000000"/>
          <w:sz w:val="20"/>
        </w:rPr>
        <w:tab/>
        <w:tab/>
      </w:r>
    </w:p>
    <w:p>
      <w:pPr>
        <w:pStyle w:val="Normal"/>
        <w:tabs>
          <w:tab w:val="clear" w:pos="720"/>
          <w:tab w:val="left" w:pos="450" w:leader="none"/>
          <w:tab w:val="left" w:pos="5778" w:leader="none"/>
          <w:tab w:val="left" w:pos="9198" w:leader="none"/>
          <w:tab w:val="left" w:pos="12888" w:leader="none"/>
        </w:tabs>
        <w:ind w:start="360" w:end="0"/>
        <w:rPr/>
      </w:pPr>
      <w:r>
        <w:rPr>
          <w:color w:val="000000"/>
        </w:rPr>
        <w:t xml:space="preserve">Market complexity in the nodal approach would significantly hamper retail competition. </w:t>
      </w:r>
      <w:r>
        <w:rPr>
          <w:i/>
          <w:color w:val="000000"/>
        </w:rPr>
        <w:t>Ex-ante</w:t>
      </w:r>
      <w:r>
        <w:rPr>
          <w:color w:val="000000"/>
        </w:rPr>
        <w:t xml:space="preserve"> pricing and commercial simplicity of the flow-based and zonal approaches would better accomodate retail choice.</w:t>
      </w:r>
    </w:p>
    <w:p>
      <w:pPr>
        <w:pStyle w:val="Normal"/>
        <w:tabs>
          <w:tab w:val="clear" w:pos="720"/>
          <w:tab w:val="left" w:pos="450" w:leader="none"/>
          <w:tab w:val="left" w:pos="5778" w:leader="none"/>
          <w:tab w:val="left" w:pos="9198" w:leader="none"/>
          <w:tab w:val="left" w:pos="12888" w:leader="none"/>
        </w:tabs>
        <w:ind w:start="360" w:end="0"/>
        <w:rPr>
          <w:color w:val="000000"/>
        </w:rPr>
      </w:pPr>
      <w:r>
        <w:rPr>
          <w:color w:val="000000"/>
        </w:rPr>
      </w:r>
    </w:p>
    <w:p>
      <w:pPr>
        <w:pStyle w:val="Normal"/>
        <w:tabs>
          <w:tab w:val="clear" w:pos="720"/>
          <w:tab w:val="left" w:pos="2214" w:leader="none"/>
          <w:tab w:val="left" w:pos="5778" w:leader="none"/>
          <w:tab w:val="left" w:pos="9198" w:leader="none"/>
          <w:tab w:val="left" w:pos="12888" w:leader="none"/>
        </w:tabs>
        <w:rPr>
          <w:rFonts w:ascii="Arial" w:hAnsi="Arial" w:cs="Arial"/>
          <w:color w:val="000000"/>
          <w:sz w:val="20"/>
        </w:rPr>
      </w:pPr>
      <w:r>
        <w:rPr>
          <w:rFonts w:cs="Arial" w:ascii="Arial" w:hAnsi="Arial"/>
          <w:color w:val="000000"/>
          <w:sz w:val="20"/>
        </w:rPr>
      </w:r>
    </w:p>
    <w:p>
      <w:pPr>
        <w:pStyle w:val="Normal"/>
        <w:numPr>
          <w:ilvl w:val="0"/>
          <w:numId w:val="1"/>
        </w:numPr>
        <w:tabs>
          <w:tab w:val="clear" w:pos="720"/>
          <w:tab w:val="left" w:pos="2214" w:leader="none"/>
          <w:tab w:val="left" w:pos="5778" w:leader="none"/>
          <w:tab w:val="left" w:pos="9198" w:leader="none"/>
          <w:tab w:val="left" w:pos="12888" w:leader="none"/>
        </w:tabs>
        <w:rPr>
          <w:rFonts w:ascii="Arial" w:hAnsi="Arial" w:cs="Arial"/>
          <w:color w:val="000000"/>
          <w:sz w:val="20"/>
        </w:rPr>
      </w:pPr>
      <w:r>
        <w:rPr>
          <w:rFonts w:cs="Arial" w:ascii="Arial" w:hAnsi="Arial"/>
        </w:rPr>
        <w:t>Operational Efficiency and Administrative Feasibility</w:t>
        <w:tab/>
      </w:r>
      <w:r>
        <w:rPr>
          <w:rFonts w:cs="Arial" w:ascii="Arial" w:hAnsi="Arial"/>
          <w:color w:val="000000"/>
          <w:sz w:val="20"/>
        </w:rPr>
        <w:tab/>
        <w:tab/>
      </w:r>
    </w:p>
    <w:p>
      <w:pPr>
        <w:pStyle w:val="Normal"/>
        <w:tabs>
          <w:tab w:val="clear" w:pos="720"/>
          <w:tab w:val="left" w:pos="450" w:leader="none"/>
          <w:tab w:val="left" w:pos="5778" w:leader="none"/>
          <w:tab w:val="left" w:pos="9198" w:leader="none"/>
          <w:tab w:val="left" w:pos="12888" w:leader="none"/>
        </w:tabs>
        <w:ind w:start="360" w:end="0"/>
        <w:rPr>
          <w:color w:val="000000"/>
        </w:rPr>
      </w:pPr>
      <w:r>
        <w:rPr>
          <w:color w:val="000000"/>
        </w:rPr>
        <w:t xml:space="preserve">The bureaucracy of a centralized RTO would require high operational costs. The operational costs of a zonal and flowgate approach would be significantly lower. </w:t>
      </w:r>
    </w:p>
    <w:p>
      <w:pPr>
        <w:pStyle w:val="Normal"/>
        <w:tabs>
          <w:tab w:val="clear" w:pos="720"/>
          <w:tab w:val="left" w:pos="450" w:leader="none"/>
          <w:tab w:val="left" w:pos="5778" w:leader="none"/>
          <w:tab w:val="left" w:pos="9198" w:leader="none"/>
          <w:tab w:val="left" w:pos="12888" w:leader="none"/>
        </w:tabs>
        <w:ind w:start="360" w:end="0"/>
        <w:rPr>
          <w:color w:val="000000"/>
        </w:rPr>
      </w:pPr>
      <w:r>
        <w:rPr>
          <w:color w:val="000000"/>
        </w:rPr>
      </w:r>
    </w:p>
    <w:p>
      <w:pPr>
        <w:pStyle w:val="Normal"/>
        <w:tabs>
          <w:tab w:val="clear" w:pos="720"/>
          <w:tab w:val="left" w:pos="2214" w:leader="none"/>
          <w:tab w:val="left" w:pos="5778" w:leader="none"/>
          <w:tab w:val="left" w:pos="9198" w:leader="none"/>
          <w:tab w:val="left" w:pos="12888" w:leader="none"/>
        </w:tabs>
        <w:rPr>
          <w:rFonts w:ascii="Arial" w:hAnsi="Arial" w:cs="Arial"/>
          <w:color w:val="000000"/>
          <w:sz w:val="20"/>
        </w:rPr>
      </w:pPr>
      <w:r>
        <w:rPr>
          <w:rFonts w:cs="Arial" w:ascii="Arial" w:hAnsi="Arial"/>
          <w:color w:val="000000"/>
          <w:sz w:val="20"/>
        </w:rPr>
      </w:r>
    </w:p>
    <w:p>
      <w:pPr>
        <w:pStyle w:val="Normal"/>
        <w:numPr>
          <w:ilvl w:val="0"/>
          <w:numId w:val="1"/>
        </w:numPr>
        <w:tabs>
          <w:tab w:val="clear" w:pos="720"/>
          <w:tab w:val="left" w:pos="2214" w:leader="none"/>
          <w:tab w:val="left" w:pos="5778" w:leader="none"/>
          <w:tab w:val="left" w:pos="9198" w:leader="none"/>
          <w:tab w:val="left" w:pos="12888" w:leader="none"/>
        </w:tabs>
        <w:rPr>
          <w:rFonts w:ascii="Arial" w:hAnsi="Arial" w:cs="Arial"/>
          <w:color w:val="000000"/>
          <w:sz w:val="20"/>
        </w:rPr>
      </w:pPr>
      <w:r>
        <w:rPr>
          <w:rFonts w:cs="Arial" w:ascii="Arial" w:hAnsi="Arial"/>
        </w:rPr>
        <w:t>Seams Issues</w:t>
        <w:tab/>
      </w:r>
      <w:r>
        <w:rPr>
          <w:rFonts w:cs="Arial" w:ascii="Arial" w:hAnsi="Arial"/>
          <w:color w:val="000000"/>
          <w:sz w:val="20"/>
        </w:rPr>
        <w:tab/>
        <w:tab/>
      </w:r>
    </w:p>
    <w:p>
      <w:pPr>
        <w:pStyle w:val="Normal"/>
        <w:tabs>
          <w:tab w:val="clear" w:pos="720"/>
          <w:tab w:val="left" w:pos="450" w:leader="none"/>
          <w:tab w:val="left" w:pos="5778" w:leader="none"/>
          <w:tab w:val="left" w:pos="9198" w:leader="none"/>
          <w:tab w:val="left" w:pos="12888" w:leader="none"/>
        </w:tabs>
        <w:ind w:start="360" w:end="0"/>
        <w:rPr>
          <w:color w:val="000000"/>
        </w:rPr>
      </w:pPr>
      <w:r>
        <w:rPr>
          <w:color w:val="000000"/>
        </w:rPr>
        <w:t>Comparable across CM schemes.</w:t>
      </w:r>
    </w:p>
    <w:p>
      <w:pPr>
        <w:pStyle w:val="Normal"/>
        <w:tabs>
          <w:tab w:val="clear" w:pos="720"/>
          <w:tab w:val="left" w:pos="450" w:leader="none"/>
          <w:tab w:val="left" w:pos="5778" w:leader="none"/>
          <w:tab w:val="left" w:pos="9198" w:leader="none"/>
          <w:tab w:val="left" w:pos="12888" w:leader="none"/>
        </w:tabs>
        <w:ind w:start="360" w:end="0"/>
        <w:rPr>
          <w:color w:val="000000"/>
        </w:rPr>
      </w:pPr>
      <w:r>
        <w:rPr>
          <w:color w:val="000000"/>
        </w:rPr>
      </w:r>
    </w:p>
    <w:p>
      <w:pPr>
        <w:pStyle w:val="Normal"/>
        <w:tabs>
          <w:tab w:val="clear" w:pos="720"/>
          <w:tab w:val="left" w:pos="2214" w:leader="none"/>
          <w:tab w:val="left" w:pos="5778" w:leader="none"/>
          <w:tab w:val="left" w:pos="9198" w:leader="none"/>
          <w:tab w:val="left" w:pos="12888" w:leader="none"/>
        </w:tabs>
        <w:rPr>
          <w:rFonts w:ascii="Arial" w:hAnsi="Arial" w:cs="Arial"/>
          <w:color w:val="000000"/>
          <w:sz w:val="20"/>
        </w:rPr>
      </w:pPr>
      <w:r>
        <w:rPr>
          <w:rFonts w:cs="Arial" w:ascii="Arial" w:hAnsi="Arial"/>
          <w:color w:val="000000"/>
          <w:sz w:val="20"/>
        </w:rPr>
      </w:r>
    </w:p>
    <w:p>
      <w:pPr>
        <w:pStyle w:val="Normal"/>
        <w:numPr>
          <w:ilvl w:val="0"/>
          <w:numId w:val="1"/>
        </w:numPr>
        <w:tabs>
          <w:tab w:val="clear" w:pos="720"/>
          <w:tab w:val="left" w:pos="2214" w:leader="none"/>
          <w:tab w:val="left" w:pos="5778" w:leader="none"/>
          <w:tab w:val="left" w:pos="9198" w:leader="none"/>
          <w:tab w:val="left" w:pos="12888" w:leader="none"/>
        </w:tabs>
        <w:rPr>
          <w:rFonts w:ascii="Arial" w:hAnsi="Arial" w:cs="Arial"/>
          <w:color w:val="000000"/>
          <w:sz w:val="20"/>
        </w:rPr>
      </w:pPr>
      <w:r>
        <w:rPr>
          <w:rFonts w:cs="Arial" w:ascii="Arial" w:hAnsi="Arial"/>
        </w:rPr>
        <w:t>Allowance for Demand-Side Bidding</w:t>
        <w:tab/>
      </w:r>
      <w:r>
        <w:rPr>
          <w:rFonts w:cs="Arial" w:ascii="Arial" w:hAnsi="Arial"/>
          <w:color w:val="000000"/>
          <w:sz w:val="20"/>
        </w:rPr>
        <w:tab/>
        <w:tab/>
      </w:r>
    </w:p>
    <w:p>
      <w:pPr>
        <w:pStyle w:val="Normal"/>
        <w:tabs>
          <w:tab w:val="clear" w:pos="720"/>
          <w:tab w:val="left" w:pos="450" w:leader="none"/>
          <w:tab w:val="left" w:pos="5778" w:leader="none"/>
          <w:tab w:val="left" w:pos="9198" w:leader="none"/>
          <w:tab w:val="left" w:pos="12888" w:leader="none"/>
        </w:tabs>
        <w:ind w:start="360" w:end="0"/>
        <w:rPr>
          <w:color w:val="000000"/>
        </w:rPr>
      </w:pPr>
      <w:r>
        <w:rPr>
          <w:color w:val="000000"/>
        </w:rPr>
        <w:t>Comparable across CM schemes.</w:t>
      </w:r>
    </w:p>
    <w:p>
      <w:pPr>
        <w:pStyle w:val="Normal"/>
        <w:tabs>
          <w:tab w:val="clear" w:pos="720"/>
          <w:tab w:val="left" w:pos="450" w:leader="none"/>
          <w:tab w:val="left" w:pos="5778" w:leader="none"/>
          <w:tab w:val="left" w:pos="9198" w:leader="none"/>
          <w:tab w:val="left" w:pos="12888" w:leader="none"/>
        </w:tabs>
        <w:ind w:start="360" w:end="0"/>
        <w:rPr>
          <w:color w:val="000000"/>
        </w:rPr>
      </w:pPr>
      <w:r>
        <w:rPr>
          <w:color w:val="000000"/>
        </w:rPr>
      </w:r>
    </w:p>
    <w:p>
      <w:pPr>
        <w:pStyle w:val="Normal"/>
        <w:tabs>
          <w:tab w:val="clear" w:pos="720"/>
          <w:tab w:val="left" w:pos="2214" w:leader="none"/>
          <w:tab w:val="left" w:pos="5778" w:leader="none"/>
          <w:tab w:val="left" w:pos="9198" w:leader="none"/>
          <w:tab w:val="left" w:pos="12888" w:leader="none"/>
        </w:tabs>
        <w:rPr>
          <w:rFonts w:ascii="Arial" w:hAnsi="Arial" w:cs="Arial"/>
          <w:color w:val="000000"/>
          <w:sz w:val="20"/>
        </w:rPr>
      </w:pPr>
      <w:r>
        <w:rPr>
          <w:rFonts w:cs="Arial" w:ascii="Arial" w:hAnsi="Arial"/>
          <w:color w:val="000000"/>
          <w:sz w:val="20"/>
        </w:rPr>
      </w:r>
    </w:p>
    <w:p>
      <w:pPr>
        <w:pStyle w:val="Normal"/>
        <w:numPr>
          <w:ilvl w:val="0"/>
          <w:numId w:val="1"/>
        </w:numPr>
        <w:tabs>
          <w:tab w:val="clear" w:pos="720"/>
          <w:tab w:val="left" w:pos="2214" w:leader="none"/>
          <w:tab w:val="left" w:pos="5778" w:leader="none"/>
          <w:tab w:val="left" w:pos="9198" w:leader="none"/>
          <w:tab w:val="left" w:pos="12888" w:leader="none"/>
        </w:tabs>
        <w:rPr/>
      </w:pPr>
      <w:r>
        <w:rPr>
          <w:rFonts w:cs="Arial" w:ascii="Arial" w:hAnsi="Arial"/>
        </w:rPr>
        <w:t>Reduce Gaming</w:t>
        <w:tab/>
      </w:r>
    </w:p>
    <w:p>
      <w:pPr>
        <w:pStyle w:val="Normal"/>
        <w:tabs>
          <w:tab w:val="clear" w:pos="720"/>
          <w:tab w:val="left" w:pos="450" w:leader="none"/>
          <w:tab w:val="left" w:pos="5778" w:leader="none"/>
          <w:tab w:val="left" w:pos="9198" w:leader="none"/>
          <w:tab w:val="left" w:pos="12888" w:leader="none"/>
        </w:tabs>
        <w:ind w:start="360" w:end="0"/>
        <w:rPr>
          <w:color w:val="000000"/>
        </w:rPr>
      </w:pPr>
      <w:r>
        <w:rPr>
          <w:color w:val="000000"/>
        </w:rPr>
        <w:t>Comparable across CM schemes.</w:t>
      </w:r>
    </w:p>
    <w:sectPr>
      <w:footerReference w:type="default" r:id="rId2"/>
      <w:type w:val="nextPage"/>
      <w:pgSz w:orient="landscape" w:w="15840" w:h="12240"/>
      <w:pgMar w:left="1440" w:right="1440" w:gutter="0" w:header="0" w:top="180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Tabors Caramanis &amp; Associates</w:t>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11</w:t>
    </w:r>
    <w:r>
      <w:rPr>
        <w:rStyle w:val="PageNumber"/>
      </w:rPr>
      <w:fldChar w:fldCharType="end"/>
    </w:r>
    <w:r>
      <w:rPr>
        <w:rStyle w:val="PageNumber"/>
      </w:rPr>
      <w:tab/>
      <w:tab/>
      <w:tab/>
      <w:tab/>
      <w:tab/>
      <w:t>7/10/00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numFmt w:val="bullet"/>
      <w:lvlText w:val="-"/>
      <w:lvlJc w:val="start"/>
      <w:pPr>
        <w:tabs>
          <w:tab w:val="num" w:pos="360"/>
        </w:tabs>
        <w:ind w:start="360" w:hanging="360"/>
      </w:pPr>
      <w:rPr>
        <w:rFonts w:ascii="Times New Roman" w:hAnsi="Times New Roman" w:cs="Times New Roman" w:hint="default"/>
      </w:rPr>
    </w:lvl>
  </w:abstractNum>
  <w:abstractNum w:abstractNumId="3">
    <w:lvl w:ilvl="0">
      <w:numFmt w:val="bullet"/>
      <w:lvlText w:val="-"/>
      <w:lvlJc w:val="start"/>
      <w:pPr>
        <w:tabs>
          <w:tab w:val="num" w:pos="306"/>
        </w:tabs>
        <w:ind w:start="306" w:hanging="360"/>
      </w:pPr>
      <w:rPr>
        <w:rFonts w:ascii="Times New Roman" w:hAnsi="Times New Roman" w:cs="Times New Roman"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2z0">
    <w:name w:val="WW8Num2z0"/>
    <w:qFormat/>
    <w:rPr>
      <w:rFonts w:ascii="Arial" w:hAnsi="Arial" w:cs="Arial"/>
      <w:sz w:val="28"/>
    </w:rPr>
  </w:style>
  <w:style w:type="character" w:styleId="WW8Num4z0">
    <w:name w:val="WW8Num4z0"/>
    <w:qFormat/>
    <w:rPr>
      <w:rFonts w:ascii="Symbol" w:hAnsi="Symbol" w:cs="Symbol"/>
    </w:rPr>
  </w:style>
  <w:style w:type="character" w:styleId="WW8Num5z0">
    <w:name w:val="WW8Num5z0"/>
    <w:qFormat/>
    <w:rPr>
      <w:rFonts w:ascii="Times New Roman" w:hAnsi="Times New Roman" w:cs="Times New Roman"/>
    </w:rPr>
  </w:style>
  <w:style w:type="character" w:styleId="WW8Num6z0">
    <w:name w:val="WW8Num6z0"/>
    <w:qFormat/>
    <w:rPr>
      <w:rFonts w:ascii="Times New Roman" w:hAnsi="Times New Roman" w:cs="Times New Roman"/>
    </w:rPr>
  </w:style>
  <w:style w:type="character" w:styleId="WW8NumSt1z0">
    <w:name w:val="WW8NumSt1z0"/>
    <w:qFormat/>
    <w:rPr>
      <w:rFonts w:ascii="Arial" w:hAnsi="Arial" w:cs="Arial"/>
      <w:sz w:val="2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06notes">
    <w:name w:val="06 notes"/>
    <w:basedOn w:val="Normal"/>
    <w:qFormat/>
    <w:pPr>
      <w:keepLines/>
      <w:pBdr>
        <w:top w:val="single" w:sz="4" w:space="1" w:color="000000"/>
        <w:left w:val="single" w:sz="4" w:space="4" w:color="000000"/>
        <w:bottom w:val="single" w:sz="4" w:space="1" w:color="000000"/>
        <w:right w:val="single" w:sz="4" w:space="4" w:color="000000"/>
      </w:pBdr>
      <w:spacing w:before="120" w:after="1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2000-07-09T10:43:00Z</dcterms:created>
  <dc:creator>Narasimha Rao</dc:creator>
  <dc:description/>
  <dc:language>en-CA</dc:language>
  <cp:lastModifiedBy>Narasimha Rao</cp:lastModifiedBy>
  <cp:lastPrinted>2000-06-29T18:36:00Z</cp:lastPrinted>
  <dcterms:modified xsi:type="dcterms:W3CDTF">2000-07-10T18:25:00Z</dcterms:modified>
  <cp:revision>45</cp:revision>
  <dc:subject/>
  <dc:title>Comparision of Locational Marginal Pricing (LMP) Congestion Management (CM) Schemes</dc:title>
</cp:coreProperties>
</file>