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312610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3126105"/>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46.1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TEXAS BRINE COMPANY, LLC</w:t>
      </w:r>
    </w:p>
    <w:p>
      <w:pPr>
        <w:pStyle w:val="BlockText"/>
        <w:spacing w:lineRule="exact" w:line="260" w:before="0" w:after="160"/>
        <w:ind w:start="0" w:end="0"/>
        <w:rPr/>
      </w:pPr>
      <w:r>
        <w:rPr/>
        <w:t>a Texas limited liability company,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 xml:space="preserve">The Property is restricted in that no activity may be conducted on the Property that would fracture or cause subsurface movement to the storage well facility of Vendor located in SW ¼ of Section 41, T12S, R13E, including, but not limited to activities using explosives or other high-power detonating devices. </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TWO MILLION AND THREE HUNDRED AND FIFTY THOUSAND DOLLARS ($2,350,000) cash which the said Purchaser has well and truly paid in ready and current money to the Vendor who hereby acknowledges receipt thereof and grants full a quittance and discharge therefor.</w:t>
      </w:r>
    </w:p>
    <w:p>
      <w:pPr>
        <w:pStyle w:val="Normal"/>
        <w:jc w:val="both"/>
        <w:rPr/>
      </w:pPr>
      <w:r>
        <w:rPr/>
      </w:r>
    </w:p>
    <w:p>
      <w:pPr>
        <w:pStyle w:val="Normal"/>
        <w:jc w:val="both"/>
        <w:rPr/>
      </w:pPr>
      <w:r>
        <w:rPr/>
        <w:t xml:space="preserve">All taxes up to and including the taxes due and payable for the year 2000 are paid, and taxes for the current year shall be prorated between the parties hereto. </w:t>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of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TEXAS BRINE COMPANY, LLC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Theadore M. Grabowski, President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/mnt/main-storage/datasets/enron-docs/doc/TB_Louisiana_Cash_Sale_Form__Napoleonville_.doc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2001-11-20T23:14:00Z</dcterms:created>
  <dc:creator>protmp2</dc:creator>
  <dc:description/>
  <dc:language>en-CA</dc:language>
  <cp:lastModifiedBy>erainer</cp:lastModifiedBy>
  <cp:lastPrinted>2001-11-16T08:39:00Z</cp:lastPrinted>
  <dcterms:modified xsi:type="dcterms:W3CDTF">2001-11-20T23:14:00Z</dcterms:modified>
  <cp:revision>2</cp:revision>
  <dc:subject/>
  <dc:title>CASH SALE</dc:title>
</cp:coreProperties>
</file>