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rPr>
          <w:b/>
          <w:bCs/>
        </w:rPr>
      </w:pPr>
      <w:r>
        <w:rPr>
          <w:b/>
          <w:bCs/>
        </w:rPr>
        <w:t>Via Overnight Mail</w:t>
      </w:r>
    </w:p>
    <w:p>
      <w:pPr>
        <w:pStyle w:val="Normal"/>
        <w:tabs>
          <w:tab w:val="clear" w:pos="720"/>
          <w:tab w:val="left" w:pos="4680" w:leader="none"/>
        </w:tabs>
        <w:jc w:val="end"/>
        <w:rPr>
          <w:rFonts w:cs="Arial"/>
          <w:b/>
          <w:bCs/>
        </w:rPr>
      </w:pPr>
      <w:r>
        <w:rPr>
          <w:rFonts w:cs="Arial"/>
          <w:b/>
          <w:bCs/>
        </w:rPr>
      </w:r>
    </w:p>
    <w:p>
      <w:pPr>
        <w:pStyle w:val="Normal"/>
        <w:tabs>
          <w:tab w:val="clear" w:pos="720"/>
          <w:tab w:val="left" w:pos="4680" w:leader="none"/>
        </w:tabs>
        <w:ind w:start="4680" w:end="0"/>
        <w:rPr>
          <w:rFonts w:cs="Arial"/>
        </w:rPr>
      </w:pPr>
      <w:r>
        <w:rPr>
          <w:rFonts w:cs="Arial"/>
        </w:rPr>
        <w:t>May 15, 2001</w:t>
      </w:r>
    </w:p>
    <w:p>
      <w:pPr>
        <w:pStyle w:val="Normal"/>
        <w:tabs>
          <w:tab w:val="clear" w:pos="720"/>
          <w:tab w:val="left" w:pos="4680" w:leader="none"/>
        </w:tabs>
        <w:jc w:val="end"/>
        <w:rPr>
          <w:rFonts w:cs="Arial"/>
        </w:rPr>
      </w:pPr>
      <w:r>
        <w:rPr>
          <w:rFonts w:cs="Arial"/>
        </w:rPr>
      </w:r>
    </w:p>
    <w:p>
      <w:pPr>
        <w:pStyle w:val="Normal"/>
        <w:jc w:val="both"/>
        <w:rPr>
          <w:rFonts w:cs="Arial"/>
        </w:rPr>
      </w:pPr>
      <w:r>
        <w:rPr>
          <w:rFonts w:cs="Arial"/>
        </w:rPr>
        <w:t>Attn:  Mr. Bob Mustard</w:t>
      </w:r>
    </w:p>
    <w:p>
      <w:pPr>
        <w:pStyle w:val="Normal"/>
        <w:jc w:val="both"/>
        <w:rPr>
          <w:rFonts w:cs="Arial"/>
        </w:rPr>
      </w:pPr>
      <w:r>
        <w:rPr>
          <w:rFonts w:cs="Arial"/>
        </w:rPr>
        <w:t>Tom Brown Field Services, Inc.</w:t>
      </w:r>
    </w:p>
    <w:p>
      <w:pPr>
        <w:pStyle w:val="Normal"/>
        <w:jc w:val="both"/>
        <w:rPr>
          <w:rFonts w:cs="Arial"/>
        </w:rPr>
      </w:pPr>
      <w:r>
        <w:rPr>
          <w:rFonts w:cs="Arial"/>
        </w:rPr>
        <w:t>555 Seventeenth Street, Suite 1850</w:t>
      </w:r>
    </w:p>
    <w:p>
      <w:pPr>
        <w:pStyle w:val="Normal"/>
        <w:jc w:val="both"/>
        <w:rPr>
          <w:rFonts w:cs="Arial"/>
        </w:rPr>
      </w:pPr>
      <w:r>
        <w:rPr>
          <w:rFonts w:cs="Arial"/>
        </w:rPr>
        <w:t>Lakewood, CO 80202-3918</w:t>
      </w:r>
    </w:p>
    <w:p>
      <w:pPr>
        <w:pStyle w:val="Normal"/>
        <w:jc w:val="both"/>
        <w:rPr>
          <w:rFonts w:cs="Arial"/>
        </w:rPr>
      </w:pPr>
      <w:r>
        <w:rPr>
          <w:rFonts w:cs="Arial"/>
        </w:rPr>
      </w:r>
    </w:p>
    <w:p>
      <w:pPr>
        <w:pStyle w:val="Normal"/>
        <w:jc w:val="both"/>
        <w:rPr>
          <w:rFonts w:cs="Arial"/>
        </w:rPr>
      </w:pPr>
      <w:r>
        <w:rPr>
          <w:rFonts w:cs="Arial"/>
        </w:rPr>
        <w:t>Re:</w:t>
        <w:tab/>
        <w:t>Notes from May 7, 2001 Meeting</w:t>
      </w:r>
    </w:p>
    <w:p>
      <w:pPr>
        <w:pStyle w:val="Normal"/>
        <w:jc w:val="both"/>
        <w:rPr>
          <w:rFonts w:cs="Arial"/>
        </w:rPr>
      </w:pPr>
      <w:r>
        <w:rPr>
          <w:rFonts w:cs="Arial"/>
        </w:rPr>
      </w:r>
    </w:p>
    <w:p>
      <w:pPr>
        <w:pStyle w:val="BodyText2"/>
        <w:rPr>
          <w:rFonts w:cs="Arial"/>
        </w:rPr>
      </w:pPr>
      <w:r>
        <w:rPr>
          <w:rFonts w:cs="Arial"/>
        </w:rPr>
        <w:t>Mr. Mustard:</w:t>
      </w:r>
    </w:p>
    <w:p>
      <w:pPr>
        <w:pStyle w:val="Normal"/>
        <w:jc w:val="both"/>
        <w:rPr>
          <w:rFonts w:cs="Arial"/>
        </w:rPr>
      </w:pPr>
      <w:r>
        <w:rPr>
          <w:rFonts w:cs="Arial"/>
        </w:rPr>
      </w:r>
    </w:p>
    <w:p>
      <w:pPr>
        <w:pStyle w:val="BodyText2"/>
        <w:rPr/>
      </w:pPr>
      <w:r>
        <w:rPr/>
        <w:t>Crescendo Energy, LLC (“Crescendo”) is sending this letter to document our meeting with Tom Brown Field Services, Inc (“TBI”) and Cantera Resources, Inc. (“Cantera”) on May 7, 2001 and to restate in writing Crescendo’s position that in accordance with that certain Gathering, Processing, and Transportation Agreement between TBI and Crescendo dated October 19, 1993 and the Amendment dated August 4, 1994 (together the “Gathering Agreement”), Crescendo has certain rights which have been and continue to be denied and the gatherer has certain obligations that have not been and continue to not be met.  Throughout this letter, “Gatherer” is used herein to collectively refer to the “Transporter” defined in the Gathering Agreement; i.e., TBI and its predecessors from June 2000 to the present.</w:t>
      </w:r>
    </w:p>
    <w:p>
      <w:pPr>
        <w:pStyle w:val="Normal"/>
        <w:jc w:val="both"/>
        <w:rPr>
          <w:rFonts w:cs="Arial"/>
        </w:rPr>
      </w:pPr>
      <w:r>
        <w:rPr>
          <w:rFonts w:cs="Arial"/>
        </w:rPr>
      </w:r>
    </w:p>
    <w:p>
      <w:pPr>
        <w:pStyle w:val="BodyText"/>
        <w:jc w:val="both"/>
        <w:rPr/>
      </w:pPr>
      <w:r>
        <w:rPr>
          <w:rFonts w:cs="Arial"/>
          <w:sz w:val="22"/>
        </w:rPr>
        <w:t>1.</w:t>
        <w:tab/>
      </w:r>
      <w:r>
        <w:rPr>
          <w:sz w:val="22"/>
        </w:rPr>
        <w:t>From October 1, 2000 through January 8, 2001, Gatherer</w:t>
      </w:r>
      <w:r>
        <w:rPr>
          <w:rFonts w:cs="Arial"/>
          <w:sz w:val="22"/>
        </w:rPr>
        <w:t xml:space="preserve"> did not allow Crescendo to market San Arroyo flowing gas on Northwest Pipeline; denying Crescendo’s right to deliver all of its gas to any mainline carrier off the Gatherers’ system.</w:t>
      </w:r>
    </w:p>
    <w:p>
      <w:pPr>
        <w:pStyle w:val="Normal"/>
        <w:ind w:start="720" w:end="0"/>
        <w:jc w:val="both"/>
        <w:rPr>
          <w:rFonts w:cs="Arial"/>
          <w:sz w:val="22"/>
        </w:rPr>
      </w:pPr>
      <w:r>
        <w:rPr>
          <w:rFonts w:cs="Arial"/>
          <w:sz w:val="22"/>
        </w:rPr>
      </w:r>
    </w:p>
    <w:p>
      <w:pPr>
        <w:pStyle w:val="Normal"/>
        <w:ind w:start="720" w:end="0"/>
        <w:jc w:val="both"/>
        <w:rPr/>
      </w:pPr>
      <w:r>
        <w:rPr/>
        <w:t xml:space="preserve">Crescendo acquired the San Arroyo property from Enogex Exploration Corporation with an effective date of June 1, 2000.  At the time of the acquisition, gas produced from the San Arroyo field was sold through the Mesa Tap on the Questar Pipeline (“Questar”), although the gas was physically flowing to Northwest Pipeline (“NWPL”).  Gatherer was physically moving San Arroyo gas to NWPL and doing a “paper swap” at the Questar Interconnect.  </w:t>
      </w:r>
    </w:p>
    <w:p>
      <w:pPr>
        <w:pStyle w:val="Normal"/>
        <w:ind w:start="720" w:end="0"/>
        <w:jc w:val="both"/>
        <w:rPr>
          <w:rFonts w:cs="Arial"/>
        </w:rPr>
      </w:pPr>
      <w:r>
        <w:rPr>
          <w:rFonts w:cs="Arial"/>
        </w:rPr>
      </w:r>
    </w:p>
    <w:p>
      <w:pPr>
        <w:pStyle w:val="Normal"/>
        <w:ind w:start="720" w:end="0"/>
        <w:jc w:val="both"/>
        <w:rPr>
          <w:rFonts w:cs="Arial"/>
        </w:rPr>
      </w:pPr>
      <w:r>
        <w:rPr/>
        <w:t>In September 2000, Crescendo attempted to nominate all its October gas production under this Agreement on NWPL, but Gatherer would not allow us to do so (see correspondence between Crescendo and Wildhorse dated between September 14 –29, 2000).  Similar attempts and responses occurred for nomination of November and December gas volumes (see correspondence from Crescendo to Wildhorse and Tom Brown Field Services dated October 30, 2000 and November 30, 2000.)  Nominations and gas sales by Crescendo on NWPL was allowed to occur by Gatherer for the first time on January 9, 2001.</w:t>
      </w:r>
    </w:p>
    <w:p>
      <w:pPr>
        <w:pStyle w:val="Normal"/>
        <w:ind w:start="720" w:end="0"/>
        <w:jc w:val="both"/>
        <w:rPr>
          <w:rFonts w:cs="Arial"/>
        </w:rPr>
      </w:pPr>
      <w:r>
        <w:rPr>
          <w:rFonts w:cs="Arial"/>
        </w:rPr>
      </w:r>
    </w:p>
    <w:p>
      <w:pPr>
        <w:pStyle w:val="Normal"/>
        <w:ind w:start="720" w:end="0"/>
        <w:jc w:val="both"/>
        <w:rPr>
          <w:rFonts w:cs="Arial"/>
        </w:rPr>
      </w:pPr>
      <w:r>
        <w:rPr/>
        <w:t>While selling gas on Questar, Crescendo has been negatively impacted by Force Majeure, downtime, and curtailment situations occurring on the Gatherer’s system that feed both the NWPL and the Questar Pipeline (Mesa Tap).  Crescendo should not be subjected to these situation on both pipelines simultaneously.</w:t>
      </w:r>
    </w:p>
    <w:p>
      <w:pPr>
        <w:pStyle w:val="Normal"/>
        <w:ind w:start="720" w:end="0"/>
        <w:jc w:val="both"/>
        <w:rPr>
          <w:rFonts w:cs="Arial"/>
        </w:rPr>
      </w:pPr>
      <w:r>
        <w:rPr>
          <w:rFonts w:cs="Arial"/>
        </w:rPr>
      </w:r>
    </w:p>
    <w:p>
      <w:pPr>
        <w:pStyle w:val="Normal"/>
        <w:ind w:start="720" w:end="0"/>
        <w:jc w:val="both"/>
        <w:rPr>
          <w:rFonts w:cs="Arial"/>
        </w:rPr>
      </w:pPr>
      <w:r>
        <w:rPr>
          <w:rFonts w:cs="Arial"/>
        </w:rPr>
      </w:r>
    </w:p>
    <w:p>
      <w:pPr>
        <w:pStyle w:val="BodyTextIndent3"/>
        <w:ind w:hanging="0" w:start="0" w:end="0"/>
        <w:rPr>
          <w:b/>
          <w:bCs/>
        </w:rPr>
      </w:pPr>
      <w:r>
        <w:rPr>
          <w:rStyle w:val="PageNumber"/>
          <w:b/>
          <w:bCs/>
        </w:rPr>
        <w:t>2.</w:t>
        <w:tab/>
        <w:t>Since June 16, 2000, Crescendo’s San Arroyo gas production has been curtailed and continues to be curtailed (i.e., denied its “first que” position) due to Gatherer’s Force Majeure claim for not meeting NWPL’s hydrocarbon dewpoint specification.  Such condition, in accordance with the Gathering Agreement, is not considered a Force Majuere condition.  Further, from June 16, 2000 through January 8, 2001, Crescendo is selling (or being forced to sell) its San Arroyo gas production on Questar Pipeline.</w:t>
      </w:r>
    </w:p>
    <w:p>
      <w:pPr>
        <w:pStyle w:val="Normal"/>
        <w:ind w:start="720" w:end="0"/>
        <w:jc w:val="both"/>
        <w:rPr>
          <w:rFonts w:cs="Arial"/>
          <w:b/>
          <w:bCs/>
        </w:rPr>
      </w:pPr>
      <w:r>
        <w:rPr>
          <w:rFonts w:cs="Arial"/>
          <w:b/>
          <w:bCs/>
        </w:rPr>
      </w:r>
    </w:p>
    <w:p>
      <w:pPr>
        <w:pStyle w:val="Normal"/>
        <w:ind w:start="720" w:end="0"/>
        <w:jc w:val="both"/>
        <w:rPr/>
      </w:pPr>
      <w:r>
        <w:rPr/>
        <w:t xml:space="preserve">Under Section 8 (“Processing Agreement”) of the Gathering Agreement, Gatherer has the obligation to </w:t>
      </w:r>
      <w:r>
        <w:rPr>
          <w:i/>
          <w:iCs/>
        </w:rPr>
        <w:t>“accept all gas delivered up to the maximum daily allowable hereunder and redeliver the same to a mainline interconnection to the extent such gas delivered to a mainline carrier is accepted by such carrier”</w:t>
      </w:r>
      <w:r>
        <w:rPr/>
        <w:t xml:space="preserve">.  The maximum daily allowable as specified in the Gathering Agreement is 10,000 MMBtu per day.  Section 1 of the Agreement grants Crescendo a </w:t>
      </w:r>
      <w:r>
        <w:rPr>
          <w:i/>
          <w:iCs/>
        </w:rPr>
        <w:t>“first que position with respect to the first 10,000 mmbtu’s of production from the Oil and Gas Properties and the acreage associated herewith”.</w:t>
      </w:r>
      <w:r>
        <w:rPr/>
        <w:t xml:space="preserve">  Section 3 in the August 4, 1994 amendment also obligates Gatherer to redeliver Crescendo’s full volumes after removal of impurities and natural gas liquids.  Enforcement by Williams NWPL of the pipeline’s dewpoint specification cannot be considered a Force Majeure event.  </w:t>
      </w:r>
    </w:p>
    <w:p>
      <w:pPr>
        <w:pStyle w:val="Normal"/>
        <w:ind w:start="720" w:end="0"/>
        <w:jc w:val="both"/>
        <w:rPr/>
      </w:pPr>
      <w:r>
        <w:rPr/>
      </w:r>
    </w:p>
    <w:p>
      <w:pPr>
        <w:pStyle w:val="Normal"/>
        <w:ind w:start="720" w:end="0"/>
        <w:jc w:val="both"/>
        <w:rPr>
          <w:rFonts w:cs="Arial"/>
        </w:rPr>
      </w:pPr>
      <w:r>
        <w:rPr/>
        <w:t xml:space="preserve">In June of 2000, Gatherer was shut-in by Williams NWPL for not meeting the hydrocarbon dewpoint specification for gas being injected into NWPL.  In response, Gatherer shut-in some gas, curtailed other production, and rearranged the way gas flowed on its gathering system to treat as much gas as possible with existing NGL extraction facilities.  Inlet pressures to the San Arroyo plant were excessive during this period, causing Crescendo’s San Arroyo gas production to be severely curtailed (even while Crescendo was selling its gas on Questar).  These high pressures caused the two field compressors (for which Crescendo pays Gatherer under a compressor lease agreement) to be shut-down.  Yet Crescendo continued to be billed for and paid for the compression.  Gatherer also “allocated” capacity on the gathering system, putting Crescendo on an “equal que” position with all other producers on the system.  </w:t>
      </w:r>
    </w:p>
    <w:p>
      <w:pPr>
        <w:pStyle w:val="Normal"/>
        <w:ind w:start="720" w:end="0"/>
        <w:jc w:val="both"/>
        <w:rPr>
          <w:rFonts w:cs="Arial"/>
        </w:rPr>
      </w:pPr>
      <w:r>
        <w:rPr>
          <w:rFonts w:cs="Arial"/>
        </w:rPr>
      </w:r>
    </w:p>
    <w:p>
      <w:pPr>
        <w:pStyle w:val="Normal"/>
        <w:ind w:start="720" w:end="0"/>
        <w:jc w:val="both"/>
        <w:rPr/>
      </w:pPr>
      <w:r>
        <w:rPr/>
        <w:t xml:space="preserve">Attached Graph 2.2.1-A shows the actual production from the San Arroyo field during the year 2000.  A second dotted line shows the expected production if curtailment by Gatherer (due to the NWPL hydrocarbon dewpoint specification issue) had not been experienced.  This expected production line is calculated using linear regression analysis to find the best straight line curve fit over the first 5 months of year 2000 (prior to NWPL’s hydrocarbon dewpoint curtailment), and then extrapolating that line over the remainder of the year.  Graph 2.2.1-A does not include the increased production expected from field work done by Crescendo during that same time period.  This graph shows production has never returned to the level it was were prior to June 2000, the time the curtailment was first initiated.  </w:t>
      </w:r>
    </w:p>
    <w:p>
      <w:pPr>
        <w:pStyle w:val="Normal"/>
        <w:ind w:start="720" w:end="0"/>
        <w:jc w:val="both"/>
        <w:rPr/>
      </w:pPr>
      <w:r>
        <w:rPr/>
      </w:r>
    </w:p>
    <w:p>
      <w:pPr>
        <w:pStyle w:val="Normal"/>
        <w:ind w:start="720" w:end="0"/>
        <w:jc w:val="both"/>
        <w:rPr/>
      </w:pPr>
      <w:r>
        <w:rPr/>
        <w:t xml:space="preserve">Graph 2.2.1-B, also attached, shows the actual monthly average pressure as measured at the delivery points from Crescendo wells in the San Arroyo field.  This graph includes the impact of the two field compressors.  (Field compressors skew the monthly average delivery point pressure down).  A second dotted line on this graph shows the expected average pressure for year 2000.  This expected pressure line is calculated using linear regression analysis to find the best straight line curve fit over the first 5 months of year 2000 (prior to NWPL’s hydrocarbon dewpoint curtailment), and then extrapolating that line over the remainder of the year.  This graph shows wellhead pressures have never returned to the level they were prior to June 2000, the time the curtailment was first initiated.  </w:t>
      </w:r>
    </w:p>
    <w:p>
      <w:pPr>
        <w:pStyle w:val="Normal"/>
        <w:ind w:start="720" w:end="0"/>
        <w:jc w:val="both"/>
        <w:rPr/>
      </w:pPr>
      <w:r>
        <w:rPr/>
      </w:r>
    </w:p>
    <w:p>
      <w:pPr>
        <w:pStyle w:val="BodyTextIndent3"/>
        <w:ind w:hanging="0" w:start="0" w:end="0"/>
        <w:rPr>
          <w:rFonts w:cs="Arial"/>
        </w:rPr>
      </w:pPr>
      <w:r>
        <w:rPr>
          <w:rFonts w:cs="Arial"/>
        </w:rPr>
      </w:r>
    </w:p>
    <w:p>
      <w:pPr>
        <w:pStyle w:val="BodyTextIndent3"/>
        <w:ind w:hanging="0" w:start="0" w:end="0"/>
        <w:rPr>
          <w:rFonts w:cs="Arial"/>
          <w:b/>
          <w:bCs/>
        </w:rPr>
      </w:pPr>
      <w:r>
        <w:rPr>
          <w:rFonts w:cs="Arial"/>
          <w:b/>
          <w:bCs/>
        </w:rPr>
        <w:t>3.</w:t>
        <w:tab/>
        <w:t>Crescendo has been and continues to be denied its “first que” position as required in the Gathering Agreement.</w:t>
      </w:r>
    </w:p>
    <w:p>
      <w:pPr>
        <w:pStyle w:val="Normal"/>
        <w:ind w:start="720" w:end="0"/>
        <w:jc w:val="both"/>
        <w:rPr>
          <w:rFonts w:cs="Arial"/>
          <w:b/>
          <w:bCs/>
        </w:rPr>
      </w:pPr>
      <w:r>
        <w:rPr>
          <w:rFonts w:cs="Arial"/>
          <w:b/>
          <w:bCs/>
        </w:rPr>
      </w:r>
    </w:p>
    <w:p>
      <w:pPr>
        <w:pStyle w:val="Normal"/>
        <w:ind w:start="720" w:end="0"/>
        <w:jc w:val="both"/>
        <w:rPr>
          <w:rFonts w:cs="Arial"/>
        </w:rPr>
      </w:pPr>
      <w:r>
        <w:rPr>
          <w:rFonts w:cs="Arial"/>
        </w:rPr>
        <w:t xml:space="preserve">Crescendo gas committed to the Gatherer under this Gathering Agreement has and continues to receive a “second que” position into the San Arroyo Gas Plant.  All gas entering the San Arroyo Plant is treated equally as to inlet pressure under normal operating conditions.  There are no separate controls that give Crescendo its “first que” position as required by the Gathering Agreement.  During upset conditions at the facility (compressor failure) where Plant inlet pressures rise above the normal control setpoint and reach 110 psig, Crescendo’s production is curtailed first before the gas coming into the Plant from the Treestem area through the 12” Mesa Pipeline.  (When the pressure reaches 110 psig, Crescendo’s field compressors, designed and leased to Crescendo by Gatherer, go down because they cannot operate at such a high discharge rate.)  This gives Crescendo’s production a “second que” position.  </w:t>
      </w:r>
    </w:p>
    <w:p>
      <w:pPr>
        <w:pStyle w:val="Normal"/>
        <w:ind w:start="720" w:end="0"/>
        <w:jc w:val="both"/>
        <w:rPr>
          <w:rFonts w:cs="Arial"/>
        </w:rPr>
      </w:pPr>
      <w:r>
        <w:rPr>
          <w:rFonts w:cs="Arial"/>
        </w:rPr>
      </w:r>
    </w:p>
    <w:p>
      <w:pPr>
        <w:pStyle w:val="Normal"/>
        <w:jc w:val="both"/>
        <w:rPr>
          <w:rFonts w:cs="Arial"/>
        </w:rPr>
      </w:pPr>
      <w:r>
        <w:rPr>
          <w:rFonts w:cs="Arial"/>
        </w:rPr>
      </w:r>
    </w:p>
    <w:p>
      <w:pPr>
        <w:pStyle w:val="BodyText"/>
        <w:jc w:val="both"/>
        <w:rPr>
          <w:rFonts w:cs="Arial"/>
          <w:sz w:val="22"/>
        </w:rPr>
      </w:pPr>
      <w:r>
        <w:rPr>
          <w:rFonts w:cs="Arial"/>
          <w:sz w:val="22"/>
        </w:rPr>
        <w:t>4.</w:t>
        <w:tab/>
        <w:t>Gatherer is operating the gathering system such that line pressure at the Delivery Points have exceeded and continue to exceed that required in the Gathering Agreement.</w:t>
      </w:r>
    </w:p>
    <w:p>
      <w:pPr>
        <w:pStyle w:val="BodyTextIndent3"/>
        <w:rPr>
          <w:rStyle w:val="PageNumber"/>
          <w:rFonts w:cs="Arial"/>
          <w:sz w:val="22"/>
        </w:rPr>
      </w:pPr>
      <w:r>
        <w:rPr>
          <w:rFonts w:cs="Arial"/>
          <w:sz w:val="22"/>
        </w:rPr>
      </w:r>
    </w:p>
    <w:p>
      <w:pPr>
        <w:pStyle w:val="Normal"/>
        <w:ind w:start="720" w:end="0"/>
        <w:jc w:val="both"/>
        <w:rPr/>
      </w:pPr>
      <w:r>
        <w:rPr/>
        <w:t xml:space="preserve">When this Gathering Agreement was executed, the gas from San Arroyo field area was being gathered at the San Arroyo Plant and transported to the Questar Mesa Tap for sales through the 12” Mesa Lateral.  This was the only pipeline interconnect available at the time for San Arroyo gas production.  In the fall of 1996, Wildhorse acquired and assumed operation of the gathering system.  At that time, average field pressures at the delivery points rose from below 80 psig to approximately 100 psig.  During the winter of 1997, Wildhorse turned the flow of the 12” Mesa lateral around, flowing gas from the Treestem area (north of San Arroyo) to the San Arroyo Plant and then to Northwest Pipeline (NWPL) for sales.  Thus, San Arroyo gas was also physically being moved to the NWPL.  However, gas produced at San Arroyo continued to be sold through the Questar interconnect, with Wildhorse making the paper transfer along the Mesa pipeline.  </w:t>
      </w:r>
    </w:p>
    <w:p>
      <w:pPr>
        <w:pStyle w:val="BodyTextIndent3"/>
        <w:rPr>
          <w:rStyle w:val="PageNumber"/>
        </w:rPr>
      </w:pPr>
      <w:r>
        <w:rPr/>
      </w:r>
    </w:p>
    <w:p>
      <w:pPr>
        <w:pStyle w:val="BodyTextIndent3"/>
        <w:ind w:hanging="0" w:start="720" w:end="0"/>
        <w:rPr>
          <w:rStyle w:val="PageNumber"/>
        </w:rPr>
      </w:pPr>
      <w:r>
        <w:rPr/>
        <w:t xml:space="preserve">Attached is a graph that shows the overall San Arroyo field average pressure versus production curves with certain major events identified.  From this graph, it is clear that the turn around of the 12” Mesa Lateral in early 1998 caused a significant increase in Delivery Point pressures and, hence, a significant reduction in gas flow from the San Arroyo wells.  San Arroyo gas was being displaced by gas from the Treestem area through the San Arroyo Plant (hence, this is a “first que” issue as well).  The inlet pressure to the San Arroyo Plant is set by the gas volume being delivered through the 12” Mesa Lateral.  </w:t>
      </w:r>
    </w:p>
    <w:p>
      <w:pPr>
        <w:pStyle w:val="BodyTextIndent3"/>
        <w:ind w:hanging="0" w:start="720" w:end="0"/>
        <w:rPr>
          <w:rStyle w:val="PageNumber"/>
        </w:rPr>
      </w:pPr>
      <w:r>
        <w:rPr/>
      </w:r>
    </w:p>
    <w:p>
      <w:pPr>
        <w:pStyle w:val="Normal"/>
        <w:ind w:start="720" w:end="0"/>
        <w:jc w:val="both"/>
        <w:rPr/>
      </w:pPr>
      <w:r>
        <w:rPr/>
        <w:t xml:space="preserve">In an effort to lower Delivery Point pressures and increase production, two field compressors were installed.  One compressor was installed in October 1998 on the West Lateral (near the #3 well) and the second was installed in May 1999 on the North Lateral (near the #19 well).  Refer to Figure 3-1 for compressor locations.  Crescendo rents these compressors from the Gatherer.  Crescendo believes it is paying for compression required for the Gatherer to meet its Delivery Point Pressure contractual obligations.  The pressure versus production graph includes the effects of the two field compressors installed and operating.  Thus, the chart Delivery Point pressure line is skewed to show an average Delivery Point pressure that is lower than it would be if field compression were not installed.  A second pressure versus production graph is also attached that shows the average pressure and production for each lateral.  </w:t>
      </w:r>
    </w:p>
    <w:p>
      <w:pPr>
        <w:pStyle w:val="BodyTextIndent3"/>
        <w:ind w:start="720" w:end="0"/>
        <w:rPr>
          <w:rStyle w:val="PageNumber"/>
        </w:rPr>
      </w:pPr>
      <w:r>
        <w:rPr/>
      </w:r>
    </w:p>
    <w:p>
      <w:pPr>
        <w:pStyle w:val="Normal"/>
        <w:ind w:start="720" w:end="0"/>
        <w:jc w:val="both"/>
        <w:rPr/>
      </w:pPr>
      <w:r>
        <w:rPr/>
        <w:t xml:space="preserve">Section 6 </w:t>
      </w:r>
      <w:r>
        <w:rPr>
          <w:u w:val="single"/>
        </w:rPr>
        <w:t>Delivery Pressure</w:t>
      </w:r>
      <w:r>
        <w:rPr/>
        <w:t xml:space="preserve"> of the Gas Gathering Agreement between Crescendo and Gatherer discusses the contractual pressure requirements: </w:t>
      </w:r>
      <w:r>
        <w:rPr>
          <w:i/>
          <w:iCs/>
        </w:rPr>
        <w:t>“Gatherer shall operate the system so that the line pressure at each Delivery Point located upstream of Gatherer’s compression facilities shall not exceed the average line pressure over the three (3) years period immediately preceding the Effective Time of Northstar’s acquisition of the Oil and Gas Properties.”</w:t>
      </w:r>
      <w:r>
        <w:rPr/>
        <w:t xml:space="preserve">  Crescendo believes the contract average field pressure at the Delivery Points is 80 psig.</w:t>
      </w:r>
    </w:p>
    <w:p>
      <w:pPr>
        <w:pStyle w:val="BodyTextIndent3"/>
        <w:ind w:hanging="0" w:start="720" w:end="0"/>
        <w:rPr>
          <w:rStyle w:val="PageNumber"/>
        </w:rPr>
      </w:pPr>
      <w:r>
        <w:rPr/>
      </w:r>
    </w:p>
    <w:p>
      <w:pPr>
        <w:pStyle w:val="BodyTextIndent3"/>
        <w:ind w:hanging="0" w:start="720" w:end="0"/>
        <w:rPr>
          <w:rStyle w:val="PageNumber"/>
        </w:rPr>
      </w:pPr>
      <w:r>
        <w:rPr/>
        <w:t xml:space="preserve">Graph 2-2.3-A and Graph 2-2.3-B shows the impact excessive pressure has had on the non-compressor wells at San Arroyo.  For Graph 2-2.3-A, the base production for Year 2000 is the estimated production without curtailment for non-compressor wells.  This expected production line is calculated using linear regression analysis to find the best straight line curve fit over the first 5 months of year 2000 (prior to NWPL’s hydrocarbon dewpoint curtailment), and then extrapolating that line over the remainder of the year.  The same linear regression analysis methodology was used to find the best straight line curve for the average Delivery Point pressure without curtailment as shown in Graph 2-2.3-B.  The impact to Crescendo’s production is calculated as the difference in the average Delivery Point pressure (without curtailment) and the average Delivery Point pressure required by the Gathering Agreement multiplied by the “expected production” and then by 3.8%.  (Based on the recent Gasjack tests on various wells in San Arroyo field, Crescendo expects to increase production by approximately 3.8% for each psi drop in Delivery Point pressure.)  </w:t>
      </w:r>
    </w:p>
    <w:p>
      <w:pPr>
        <w:pStyle w:val="BodyTextIndent3"/>
        <w:ind w:hanging="0" w:start="720" w:end="0"/>
        <w:rPr>
          <w:rStyle w:val="PageNumber"/>
        </w:rPr>
      </w:pPr>
      <w:r>
        <w:rPr/>
      </w:r>
    </w:p>
    <w:p>
      <w:pPr>
        <w:pStyle w:val="BodyTextIndent3"/>
        <w:ind w:hanging="0" w:start="720" w:end="0"/>
        <w:rPr>
          <w:rStyle w:val="PageNumber"/>
        </w:rPr>
      </w:pPr>
      <w:r>
        <w:rPr/>
      </w:r>
    </w:p>
    <w:p>
      <w:pPr>
        <w:pStyle w:val="BodyText"/>
        <w:jc w:val="both"/>
        <w:rPr/>
      </w:pPr>
      <w:r>
        <w:rPr>
          <w:rFonts w:cs="Arial"/>
          <w:sz w:val="22"/>
        </w:rPr>
        <w:t>5.</w:t>
        <w:tab/>
        <w:t>TBI has not provided viable alternatives in a timely manner to treat and transport Crescendo’s San Arroyo shut-in Entada gas to market.</w:t>
      </w:r>
    </w:p>
    <w:p>
      <w:pPr>
        <w:pStyle w:val="Normal"/>
        <w:jc w:val="both"/>
        <w:rPr>
          <w:rFonts w:cs="Arial"/>
          <w:sz w:val="22"/>
        </w:rPr>
      </w:pPr>
      <w:r>
        <w:rPr>
          <w:rFonts w:cs="Arial"/>
          <w:sz w:val="22"/>
        </w:rPr>
      </w:r>
    </w:p>
    <w:p>
      <w:pPr>
        <w:pStyle w:val="Normal"/>
        <w:ind w:start="720" w:end="0"/>
        <w:jc w:val="both"/>
        <w:rPr/>
      </w:pPr>
      <w:r>
        <w:rPr/>
        <w:t xml:space="preserve">As of June 2000, Crescendo has been attempting to move its San Arroyo Entrada gas to market.  Several letters have been sent between the Crescendo and the Gatherer covering the subject; specifically, letters from Wildhorse to Crescendo dated August 4, August 21, and September 27, 2000 and letters from Crescendo to Wildhorse dated September 14 and 29, 2000.  Several meetings between the Gatherer and Crescendo also took place.  </w:t>
      </w:r>
    </w:p>
    <w:p>
      <w:pPr>
        <w:pStyle w:val="Normal"/>
        <w:ind w:start="720" w:end="0"/>
        <w:jc w:val="both"/>
        <w:rPr/>
      </w:pPr>
      <w:r>
        <w:rPr/>
      </w:r>
    </w:p>
    <w:p>
      <w:pPr>
        <w:pStyle w:val="Normal"/>
        <w:ind w:start="720" w:end="0"/>
        <w:jc w:val="both"/>
        <w:rPr/>
      </w:pPr>
      <w:r>
        <w:rPr/>
        <w:t xml:space="preserve">Crescendo has sought and continues to seek whether the Gatherer intends to declare “unprofitability” as to the San Arroyo Entrada gas.  The Gatherer is obligated under this Gathering Agreement to declare its intent in this regard as soon as it is formulated.  The Gatherer is not allowed to prejudice Crescendo’s ability to produce its wells by unreasonably delaying its “unprofitability” decision.  It has now been ten (10) months since Crescendo first officially asked for the Gatherer’s intent on this issue.  It is Crescendo position that the Gatherer has unreasonably delayed its decision and has not provided viable options to move Crescendo’s Entrada gas in a reasonable period of time, and the Gatherer is in breach of its obligations under this Gathering Agreement.  </w:t>
      </w:r>
    </w:p>
    <w:p>
      <w:pPr>
        <w:pStyle w:val="Normal"/>
        <w:ind w:start="720" w:end="0"/>
        <w:jc w:val="both"/>
        <w:rPr/>
      </w:pPr>
      <w:r>
        <w:rPr/>
      </w:r>
    </w:p>
    <w:p>
      <w:pPr>
        <w:pStyle w:val="Normal"/>
        <w:ind w:start="720" w:end="0"/>
        <w:jc w:val="both"/>
        <w:rPr/>
      </w:pPr>
      <w:r>
        <w:rPr/>
        <w:t>In the second paragraph of Wildhorse’s letter to Crescendo dated August 21, 2000, they indicate that Section 13 Unprofitability clause “does not distinguish between the formations from which the gas is produced.”  While Crescendo believes this clause applies to all gas formations covered under this Agreement, it is very clear from the second paragraph that unprofitability of gathering Entrada formation gas can be and should be considered separately from the Dakota production, not collectively.  Further, Gatherer must either declare unprofitability and negotiate in good faith to find an alternative solution.  Arguably, the Gatherer have done neither in writing, although they have admitted during several meetings that gathering of Entrada under the current Gathering Agreement would be unprofitable.</w:t>
      </w:r>
    </w:p>
    <w:p>
      <w:pPr>
        <w:pStyle w:val="Normal"/>
        <w:ind w:start="720" w:end="0"/>
        <w:jc w:val="both"/>
        <w:rPr/>
      </w:pPr>
      <w:r>
        <w:rPr/>
      </w:r>
    </w:p>
    <w:p>
      <w:pPr>
        <w:pStyle w:val="Normal"/>
        <w:jc w:val="both"/>
        <w:rPr/>
      </w:pPr>
      <w:r>
        <w:rPr/>
        <w:t>Coupled with these issues, Crescendo has experience unacceptable levels of equipment and system uptime and maintenance response time during the past 3 months.  For example, at least one of the San Arroyo plant compressors has been down for 40 hours within the first 10 days of May (invoking the “first que” issue as described in item 3 above) and the Field Compressor at the #3 well has been down 42 hours for mechanical failure during the same period.  Crescendo’s production is down over 20% from its normal daily average flowrate.</w:t>
      </w:r>
    </w:p>
    <w:p>
      <w:pPr>
        <w:pStyle w:val="Normal"/>
        <w:jc w:val="both"/>
        <w:rPr>
          <w:rFonts w:cs="Arial"/>
        </w:rPr>
      </w:pPr>
      <w:r>
        <w:rPr>
          <w:rFonts w:cs="Arial"/>
        </w:rPr>
      </w:r>
    </w:p>
    <w:p>
      <w:pPr>
        <w:pStyle w:val="Normal"/>
        <w:jc w:val="both"/>
        <w:rPr>
          <w:rFonts w:cs="Arial"/>
        </w:rPr>
      </w:pPr>
      <w:r>
        <w:rPr>
          <w:rFonts w:cs="Arial"/>
        </w:rPr>
        <w:t>Crescendo is eager to resolve these Gathering Agreement issues as soon as possible.  Please let me know when you would like to meet to discuss.</w:t>
      </w:r>
    </w:p>
    <w:p>
      <w:pPr>
        <w:pStyle w:val="Normal"/>
        <w:jc w:val="both"/>
        <w:rPr>
          <w:rFonts w:cs="Arial"/>
        </w:rPr>
      </w:pPr>
      <w:r>
        <w:rPr>
          <w:rFonts w:cs="Arial"/>
        </w:rPr>
      </w:r>
    </w:p>
    <w:p>
      <w:pPr>
        <w:pStyle w:val="Normal"/>
        <w:tabs>
          <w:tab w:val="clear" w:pos="720"/>
          <w:tab w:val="left" w:pos="9360" w:leader="none"/>
        </w:tabs>
        <w:spacing w:lineRule="auto" w:line="286"/>
        <w:ind w:start="4680" w:end="0"/>
        <w:jc w:val="both"/>
        <w:rPr>
          <w:rFonts w:cs="Arial"/>
        </w:rPr>
      </w:pPr>
      <w:r>
        <w:rPr>
          <w:rFonts w:cs="Arial"/>
        </w:rPr>
      </w:r>
    </w:p>
    <w:p>
      <w:pPr>
        <w:pStyle w:val="Normal"/>
        <w:tabs>
          <w:tab w:val="clear" w:pos="720"/>
          <w:tab w:val="left" w:pos="9360" w:leader="none"/>
        </w:tabs>
        <w:spacing w:lineRule="auto" w:line="286"/>
        <w:ind w:start="4680" w:end="0"/>
        <w:jc w:val="both"/>
        <w:rPr>
          <w:rFonts w:cs="Arial"/>
        </w:rPr>
      </w:pPr>
      <w:r>
        <w:rPr>
          <w:rFonts w:cs="Arial"/>
        </w:rPr>
        <w:t>Sincerely yours,</w:t>
      </w:r>
    </w:p>
    <w:p>
      <w:pPr>
        <w:pStyle w:val="Normal"/>
        <w:tabs>
          <w:tab w:val="clear" w:pos="720"/>
          <w:tab w:val="left" w:pos="9360" w:leader="none"/>
        </w:tabs>
        <w:spacing w:lineRule="auto" w:line="286"/>
        <w:ind w:start="4680" w:end="0"/>
        <w:rPr>
          <w:rFonts w:cs="Arial"/>
        </w:rPr>
      </w:pPr>
      <w:r>
        <w:rPr>
          <w:rFonts w:cs="Arial"/>
        </w:rPr>
        <w:t>Crescendo Energy, LLC</w:t>
      </w:r>
    </w:p>
    <w:p>
      <w:pPr>
        <w:pStyle w:val="BodyTextIndent2"/>
        <w:rPr>
          <w:rFonts w:cs="Arial"/>
        </w:rPr>
      </w:pPr>
      <w:r>
        <w:rPr>
          <w:rFonts w:cs="Arial"/>
        </w:rPr>
        <w:t>By:</w:t>
        <w:tab/>
        <w:t>Crescendo Energy Partners, LLC, its Managing Member</w:t>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t>Kenneth C. Krisa, President</w:t>
      </w:r>
    </w:p>
    <w:p>
      <w:pPr>
        <w:pStyle w:val="Normal"/>
        <w:rPr>
          <w:rFonts w:cs="Arial"/>
          <w:sz w:val="16"/>
        </w:rPr>
      </w:pPr>
      <w:r>
        <w:rPr>
          <w:rFonts w:cs="Arial"/>
          <w:sz w:val="16"/>
        </w:rPr>
      </w:r>
    </w:p>
    <w:p>
      <w:pPr>
        <w:pStyle w:val="Normal"/>
        <w:jc w:val="both"/>
        <w:rPr>
          <w:rFonts w:cs="Arial"/>
          <w:sz w:val="18"/>
        </w:rPr>
      </w:pPr>
      <w:r>
        <w:rPr>
          <w:rFonts w:cs="Arial"/>
          <w:sz w:val="18"/>
        </w:rPr>
        <w:t>xc:</w:t>
        <w:tab/>
        <w:t>Carter Mathies (Wildhorse Operating Team)</w:t>
      </w:r>
    </w:p>
    <w:p>
      <w:pPr>
        <w:pStyle w:val="Normal"/>
        <w:jc w:val="both"/>
        <w:rPr>
          <w:rFonts w:cs="Arial"/>
          <w:sz w:val="18"/>
        </w:rPr>
      </w:pPr>
      <w:r>
        <w:rPr>
          <w:rFonts w:cs="Arial"/>
          <w:sz w:val="18"/>
        </w:rPr>
        <w:tab/>
        <w:t>Tom Dyk (Wildhorse Operating Team)</w:t>
      </w:r>
    </w:p>
    <w:p>
      <w:pPr>
        <w:pStyle w:val="Normal"/>
        <w:jc w:val="both"/>
        <w:rPr>
          <w:rFonts w:cs="Arial"/>
          <w:sz w:val="18"/>
        </w:rPr>
      </w:pPr>
      <w:r>
        <w:rPr>
          <w:rFonts w:cs="Arial"/>
          <w:sz w:val="18"/>
        </w:rPr>
        <w:tab/>
        <w:t>Pete Scherer (Wildhorse Operating Team)</w:t>
      </w:r>
    </w:p>
    <w:p>
      <w:pPr>
        <w:pStyle w:val="Normal"/>
        <w:ind w:firstLine="720" w:end="0"/>
        <w:jc w:val="both"/>
        <w:rPr>
          <w:rFonts w:cs="Arial"/>
          <w:sz w:val="18"/>
        </w:rPr>
      </w:pPr>
      <w:r>
        <w:rPr>
          <w:rFonts w:cs="Arial"/>
          <w:sz w:val="18"/>
        </w:rPr>
        <w:t>Don Opersteny (Wildhorse Operating Team)</w:t>
      </w:r>
    </w:p>
    <w:p>
      <w:pPr>
        <w:pStyle w:val="Normal"/>
        <w:jc w:val="both"/>
        <w:rPr>
          <w:rFonts w:cs="Arial"/>
          <w:sz w:val="18"/>
        </w:rPr>
      </w:pPr>
      <w:r>
        <w:rPr>
          <w:rFonts w:cs="Arial"/>
          <w:sz w:val="18"/>
        </w:rPr>
        <w:tab/>
        <w:t>Steve Huckaby  (Wildhorse)</w:t>
      </w:r>
    </w:p>
    <w:p>
      <w:pPr>
        <w:pStyle w:val="Normal"/>
        <w:jc w:val="both"/>
        <w:rPr>
          <w:rFonts w:cs="Arial"/>
          <w:sz w:val="18"/>
        </w:rPr>
      </w:pPr>
      <w:r>
        <w:rPr>
          <w:rFonts w:cs="Arial"/>
          <w:sz w:val="18"/>
        </w:rPr>
        <w:tab/>
        <w:t>Scott Josey (Enron North America Corp.)</w:t>
      </w:r>
    </w:p>
    <w:p>
      <w:pPr>
        <w:pStyle w:val="Normal"/>
        <w:jc w:val="both"/>
        <w:rPr>
          <w:rFonts w:cs="Arial"/>
          <w:sz w:val="18"/>
        </w:rPr>
      </w:pPr>
      <w:r>
        <w:rPr>
          <w:rFonts w:cs="Arial"/>
          <w:sz w:val="18"/>
        </w:rPr>
        <w:tab/>
        <w:t>Brian Redmond (Enron North America Corp.)</w:t>
      </w:r>
    </w:p>
    <w:p>
      <w:pPr>
        <w:pStyle w:val="Normal"/>
        <w:jc w:val="both"/>
        <w:rPr>
          <w:rFonts w:cs="Arial"/>
          <w:sz w:val="18"/>
        </w:rPr>
      </w:pPr>
      <w:r>
        <w:rPr>
          <w:rFonts w:cs="Arial"/>
          <w:sz w:val="18"/>
        </w:rPr>
        <w:tab/>
        <w:t>Gerald Nemec (Enron North America Corp.)</w:t>
      </w:r>
    </w:p>
    <w:sectPr>
      <w:headerReference w:type="default" r:id="rId2"/>
      <w:headerReference w:type="first" r:id="rId3"/>
      <w:type w:val="nextPage"/>
      <w:pgSz w:w="12240" w:h="15840"/>
      <w:pgMar w:left="1440" w:right="1440" w:gutter="0" w:header="1008" w:top="2074"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altName w:val="Symbol"/>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sz w:val="18"/>
      </w:rPr>
    </w:pPr>
    <w:r>
      <w:rPr>
        <w:rFonts w:cs="Arial" w:ascii="Arial" w:hAnsi="Arial"/>
        <w:sz w:val="18"/>
      </w:rPr>
      <w:t>TBI Field Services, Inc.</w:t>
      <w:tab/>
      <w:tab/>
      <w:t>May 15, 2001</w:t>
    </w:r>
  </w:p>
  <w:p>
    <w:pPr>
      <w:pStyle w:val="Header"/>
      <w:tabs>
        <w:tab w:val="clear" w:pos="8640"/>
        <w:tab w:val="center" w:pos="4320" w:leader="none"/>
        <w:tab w:val="right" w:pos="9360" w:leader="none"/>
      </w:tabs>
      <w:rPr>
        <w:rStyle w:val="PageNumber"/>
        <w:rFonts w:ascii="Arial" w:hAnsi="Arial" w:cs="Arial"/>
        <w:sz w:val="18"/>
      </w:rPr>
    </w:pPr>
    <w:r>
      <w:rPr>
        <w:rFonts w:cs="Arial" w:ascii="Arial" w:hAnsi="Arial"/>
        <w:sz w:val="18"/>
      </w:rPr>
      <w:t>San Arroyo Gathering Agreement</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5</w:t>
    </w:r>
    <w:r>
      <w:rPr>
        <w:rStyle w:val="PageNumber"/>
        <w:sz w:val="18"/>
        <w:rFonts w:cs="Arial" w:ascii="Arial" w:hAnsi="Arial"/>
      </w:rPr>
      <w:fldChar w:fldCharType="end"/>
    </w:r>
  </w:p>
  <w:p>
    <w:pPr>
      <w:pStyle w:val="Header"/>
      <w:pBdr>
        <w:bottom w:val="single" w:sz="6" w:space="1" w:color="000000"/>
      </w:pBdr>
      <w:tabs>
        <w:tab w:val="clear" w:pos="8640"/>
        <w:tab w:val="center" w:pos="4320" w:leader="none"/>
        <w:tab w:val="right" w:pos="9360" w:leader="none"/>
      </w:tabs>
      <w:rPr>
        <w:rStyle w:val="PageNumber"/>
        <w:rFonts w:ascii="Arial" w:hAnsi="Arial" w:cs="Arial"/>
        <w:sz w:val="18"/>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start="0" w:end="0"/>
      <w:rPr>
        <w:b w:val="false"/>
        <w:bCs/>
        <w:sz w:val="48"/>
        <w:u w:val="single"/>
      </w:rPr>
    </w:pPr>
    <w:r>
      <w:rPr>
        <w:rFonts w:eastAsia="Arial"/>
        <w:b w:val="false"/>
        <w:bCs/>
        <w:sz w:val="48"/>
        <w:u w:val="single"/>
      </w:rPr>
      <w:t xml:space="preserve">                               </w:t>
    </w:r>
    <w:r>
      <w:rPr>
        <w:b w:val="false"/>
        <w:bCs/>
        <w:sz w:val="48"/>
        <w:u w:val="single"/>
      </w:rPr>
      <w:t>Crescendo Energy, LLC</w:t>
    </w:r>
  </w:p>
  <w:p>
    <w:pPr>
      <w:pStyle w:val="Normal"/>
      <w:jc w:val="center"/>
      <w:rPr>
        <w:sz w:val="36"/>
      </w:rPr>
    </w:pPr>
    <w:r>
      <w:rPr>
        <w:sz w:val="16"/>
      </w:rPr>
      <w:t>1031 Andrews Highway, Suite 211, P. O. Box 1814 (79702), Midland, Texas 79701   Phone: (915) 697-7221   Fax: (915) 697-7289</w:t>
    </w:r>
  </w:p>
  <w:p>
    <w:pPr>
      <w:pStyle w:val="Header"/>
      <w:tabs>
        <w:tab w:val="clear" w:pos="8640"/>
        <w:tab w:val="center" w:pos="4320" w:leader="none"/>
      </w:tabs>
      <w:rPr>
        <w:sz w:val="36"/>
      </w:rPr>
    </w:pPr>
    <w:r>
      <w:rPr>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2"/>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jc w:val="end"/>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clear" w:pos="720"/>
        <w:tab w:val="left" w:pos="-1022" w:leader="none"/>
        <w:tab w:val="left" w:pos="-720" w:leader="none"/>
        <w:tab w:val="left" w:pos="0" w:leader="none"/>
        <w:tab w:val="left" w:pos="450" w:leader="none"/>
        <w:tab w:val="left" w:pos="1440" w:leader="none"/>
      </w:tabs>
      <w:spacing w:lineRule="auto" w:line="286"/>
      <w:jc w:val="center"/>
      <w:outlineLvl w:val="4"/>
    </w:pPr>
    <w:rPr>
      <w:b/>
    </w:rPr>
  </w:style>
  <w:style w:type="paragraph" w:styleId="Heading7">
    <w:name w:val="heading 7"/>
    <w:basedOn w:val="Normal"/>
    <w:next w:val="Normal"/>
    <w:qFormat/>
    <w:pPr>
      <w:keepNext w:val="true"/>
      <w:numPr>
        <w:ilvl w:val="6"/>
        <w:numId w:val="1"/>
      </w:numPr>
      <w:tabs>
        <w:tab w:val="left" w:pos="-1022" w:leader="none"/>
        <w:tab w:val="left" w:pos="-720" w:leader="none"/>
        <w:tab w:val="left" w:pos="0" w:leader="none"/>
        <w:tab w:val="left" w:pos="27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490" w:leader="none"/>
        <w:tab w:val="left" w:pos="6660" w:leader="none"/>
        <w:tab w:val="left" w:pos="7200" w:leader="none"/>
        <w:tab w:val="left" w:pos="7920" w:leader="none"/>
        <w:tab w:val="left" w:pos="8280" w:leader="none"/>
        <w:tab w:val="left" w:pos="9360" w:leader="none"/>
      </w:tabs>
      <w:spacing w:lineRule="auto" w:line="286"/>
      <w:outlineLvl w:val="6"/>
    </w:pPr>
    <w:rPr>
      <w:b/>
      <w:sz w:val="20"/>
      <w:u w:val="single"/>
    </w:rPr>
  </w:style>
  <w:style w:type="paragraph" w:styleId="Heading8">
    <w:name w:val="heading 8"/>
    <w:basedOn w:val="Normal"/>
    <w:next w:val="Normal"/>
    <w:qFormat/>
    <w:pPr>
      <w:keepNext w:val="true"/>
      <w:numPr>
        <w:ilvl w:val="7"/>
        <w:numId w:val="1"/>
      </w:numPr>
      <w:jc w:val="center"/>
      <w:outlineLvl w:val="7"/>
    </w:pPr>
    <w:rPr>
      <w:b/>
      <w:sz w:val="24"/>
    </w:rPr>
  </w:style>
  <w:style w:type="character" w:styleId="WW8Num1z0">
    <w:name w:val="WW8Num1z0"/>
    <w:qFormat/>
    <w:rPr>
      <w:rFonts w:ascii="Arial" w:hAnsi="Arial" w:cs="Arial"/>
      <w:sz w:val="22"/>
    </w:rPr>
  </w:style>
  <w:style w:type="character" w:styleId="WW8Num2z0">
    <w:name w:val="WW8Num2z0"/>
    <w:qFormat/>
    <w:rPr>
      <w:rFonts w:ascii="WP TypographicSymbols;Symbol" w:hAnsi="WP TypographicSymbols;Symbol" w:cs="WP TypographicSymbols;Symbol"/>
    </w:rPr>
  </w:style>
  <w:style w:type="character" w:styleId="WW8Num3z0">
    <w:name w:val="WW8Num3z0"/>
    <w:qFormat/>
    <w:rPr>
      <w:rFonts w:ascii="WP TypographicSymbols;Symbol" w:hAnsi="WP TypographicSymbols;Symbol" w:cs="WP TypographicSymbol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P TypographicSymbols;Symbol" w:hAnsi="WP TypographicSymbols;Symbol" w:cs="WP TypographicSymbols;Symbol"/>
    </w:rPr>
  </w:style>
  <w:style w:type="character" w:styleId="WW8Num8z0">
    <w:name w:val="WW8Num8z0"/>
    <w:qFormat/>
    <w:rPr>
      <w:rFonts w:ascii="WP TypographicSymbols;Symbol" w:hAnsi="WP TypographicSymbols;Symbol" w:cs="WP TypographicSymbols;Symbol"/>
    </w:rPr>
  </w:style>
  <w:style w:type="character" w:styleId="WW8Num9z0">
    <w:name w:val="WW8Num9z0"/>
    <w:qFormat/>
    <w:rPr>
      <w:rFonts w:ascii="WP TypographicSymbols;Symbol" w:hAnsi="WP TypographicSymbols;Symbol" w:cs="WP TypographicSymbols;Symbol"/>
    </w:rPr>
  </w:style>
  <w:style w:type="character" w:styleId="WW8Num10z0">
    <w:name w:val="WW8Num10z0"/>
    <w:qFormat/>
    <w:rPr>
      <w:rFonts w:ascii="Symbol" w:hAnsi="Symbol" w:cs="Symbol"/>
    </w:rPr>
  </w:style>
  <w:style w:type="character" w:styleId="WW8Num11z0">
    <w:name w:val="WW8Num11z0"/>
    <w:qFormat/>
    <w:rPr>
      <w:rFonts w:ascii="WP TypographicSymbols;Symbol" w:hAnsi="WP TypographicSymbols;Symbol" w:cs="WP TypographicSymbols;Symbol"/>
    </w:rPr>
  </w:style>
  <w:style w:type="character" w:styleId="WW8Num12z0">
    <w:name w:val="WW8Num12z0"/>
    <w:qFormat/>
    <w:rPr/>
  </w:style>
  <w:style w:type="character" w:styleId="WW8Num13z0">
    <w:name w:val="WW8Num13z0"/>
    <w:qFormat/>
    <w:rPr>
      <w:rFonts w:ascii="WP TypographicSymbols;Symbol" w:hAnsi="WP TypographicSymbols;Symbol" w:cs="WP TypographicSymbols;Symbol"/>
    </w:rPr>
  </w:style>
  <w:style w:type="character" w:styleId="WW8Num14z0">
    <w:name w:val="WW8Num14z0"/>
    <w:qFormat/>
    <w:rPr>
      <w:rFonts w:ascii="WP TypographicSymbols;Symbol" w:hAnsi="WP TypographicSymbols;Symbol" w:cs="WP TypographicSymbols;Symbol"/>
    </w:rPr>
  </w:style>
  <w:style w:type="character" w:styleId="WW8Num15z0">
    <w:name w:val="WW8Num15z0"/>
    <w:qFormat/>
    <w:rPr>
      <w:rFonts w:ascii="WP TypographicSymbols;Symbol" w:hAnsi="WP TypographicSymbols;Symbol" w:cs="WP TypographicSymbols;Symbol"/>
    </w:rPr>
  </w:style>
  <w:style w:type="character" w:styleId="WW8Num16z0">
    <w:name w:val="WW8Num16z0"/>
    <w:qFormat/>
    <w:rPr>
      <w:rFonts w:ascii="WP TypographicSymbols;Symbol" w:hAnsi="WP TypographicSymbols;Symbol" w:cs="WP TypographicSymbols;Symbol"/>
    </w:rPr>
  </w:style>
  <w:style w:type="character" w:styleId="WW8Num18z0">
    <w:name w:val="WW8Num18z0"/>
    <w:qFormat/>
    <w:rPr>
      <w:rFonts w:ascii="WP TypographicSymbols;Symbol" w:hAnsi="WP TypographicSymbols;Symbol" w:cs="WP TypographicSymbols;Symbol"/>
    </w:rPr>
  </w:style>
  <w:style w:type="character" w:styleId="WW8Num19z0">
    <w:name w:val="WW8Num19z0"/>
    <w:qFormat/>
    <w:rPr>
      <w:rFonts w:ascii="WP TypographicSymbols;Symbol" w:hAnsi="WP TypographicSymbols;Symbol" w:cs="WP TypographicSymbols;Symbol"/>
    </w:rPr>
  </w:style>
  <w:style w:type="character" w:styleId="WW8Num20z0">
    <w:name w:val="WW8Num20z0"/>
    <w:qFormat/>
    <w:rPr>
      <w:rFonts w:ascii="Symbol" w:hAnsi="Symbol" w:cs="Symbol"/>
    </w:rPr>
  </w:style>
  <w:style w:type="character" w:styleId="WW8Num21z0">
    <w:name w:val="WW8Num21z0"/>
    <w:qFormat/>
    <w:rPr>
      <w:rFonts w:ascii="WP TypographicSymbols;Symbol" w:hAnsi="WP TypographicSymbols;Symbol" w:cs="WP TypographicSymbols;Symbol"/>
    </w:rPr>
  </w:style>
  <w:style w:type="character" w:styleId="WW8Num22z0">
    <w:name w:val="WW8Num22z0"/>
    <w:qFormat/>
    <w:rPr>
      <w:rFonts w:ascii="WP TypographicSymbols;Symbol" w:hAnsi="WP TypographicSymbols;Symbol" w:cs="WP TypographicSymbols;Symbol"/>
    </w:rPr>
  </w:style>
  <w:style w:type="character" w:styleId="WW8Num23z0">
    <w:name w:val="WW8Num23z0"/>
    <w:qFormat/>
    <w:rPr>
      <w:rFonts w:ascii="WP TypographicSymbols;Symbol" w:hAnsi="WP TypographicSymbols;Symbol" w:cs="WP TypographicSymbols;Symbol"/>
    </w:rPr>
  </w:style>
  <w:style w:type="character" w:styleId="WW8Num24z0">
    <w:name w:val="WW8Num24z0"/>
    <w:qFormat/>
    <w:rPr>
      <w:rFonts w:ascii="WP TypographicSymbols;Symbol" w:hAnsi="WP TypographicSymbols;Symbol" w:cs="WP TypographicSymbols;Symbol"/>
    </w:rPr>
  </w:style>
  <w:style w:type="character" w:styleId="WW8Num25z0">
    <w:name w:val="WW8Num25z0"/>
    <w:qFormat/>
    <w:rPr>
      <w:rFonts w:ascii="WP TypographicSymbols;Symbol" w:hAnsi="WP TypographicSymbols;Symbol" w:cs="WP TypographicSymbols;Symbol"/>
    </w:rPr>
  </w:style>
  <w:style w:type="character" w:styleId="WW8Num26z0">
    <w:name w:val="WW8Num26z0"/>
    <w:qFormat/>
    <w:rPr>
      <w:rFonts w:ascii="WP TypographicSymbols;Symbol" w:hAnsi="WP TypographicSymbols;Symbol" w:cs="WP TypographicSymbols;Symbol"/>
    </w:rPr>
  </w:style>
  <w:style w:type="character" w:styleId="WW8Num27z0">
    <w:name w:val="WW8Num27z0"/>
    <w:qFormat/>
    <w:rPr>
      <w:rFonts w:ascii="WP TypographicSymbols;Symbol" w:hAnsi="WP TypographicSymbols;Symbol" w:cs="WP TypographicSymbols;Symbol"/>
    </w:rPr>
  </w:style>
  <w:style w:type="character" w:styleId="WW8Num28z0">
    <w:name w:val="WW8Num28z0"/>
    <w:qFormat/>
    <w:rPr>
      <w:rFonts w:ascii="WP TypographicSymbols;Symbol" w:hAnsi="WP TypographicSymbols;Symbol" w:cs="WP TypographicSymbols;Symbol"/>
    </w:rPr>
  </w:style>
  <w:style w:type="character" w:styleId="WW8Num29z0">
    <w:name w:val="WW8Num29z0"/>
    <w:qFormat/>
    <w:rPr>
      <w:rFonts w:ascii="WP TypographicSymbols;Symbol" w:hAnsi="WP TypographicSymbols;Symbol" w:cs="WP TypographicSymbols;Symbol"/>
    </w:rPr>
  </w:style>
  <w:style w:type="character" w:styleId="WW8Num30z0">
    <w:name w:val="WW8Num30z0"/>
    <w:qFormat/>
    <w:rPr>
      <w:rFonts w:ascii="WP TypographicSymbols;Symbol" w:hAnsi="WP TypographicSymbols;Symbol" w:cs="WP TypographicSymbols;Symbol"/>
    </w:rPr>
  </w:style>
  <w:style w:type="character" w:styleId="WW8Num31z0">
    <w:name w:val="WW8Num31z0"/>
    <w:qFormat/>
    <w:rPr>
      <w:rFonts w:ascii="WP TypographicSymbols;Symbol" w:hAnsi="WP TypographicSymbols;Symbol" w:cs="WP TypographicSymbols;Symbol"/>
    </w:rPr>
  </w:style>
  <w:style w:type="character" w:styleId="WW8Num32z0">
    <w:name w:val="WW8Num32z0"/>
    <w:qFormat/>
    <w:rPr>
      <w:rFonts w:ascii="WP TypographicSymbols;Symbol" w:hAnsi="WP TypographicSymbols;Symbol" w:cs="WP TypographicSymbols;Symbol"/>
    </w:rPr>
  </w:style>
  <w:style w:type="character" w:styleId="WW8Num33z0">
    <w:name w:val="WW8Num33z0"/>
    <w:qFormat/>
    <w:rPr/>
  </w:style>
  <w:style w:type="character" w:styleId="WW8Num36z0">
    <w:name w:val="WW8Num36z0"/>
    <w:qFormat/>
    <w:rPr>
      <w:rFonts w:ascii="WP TypographicSymbols;Symbol" w:hAnsi="WP TypographicSymbols;Symbol" w:cs="WP TypographicSymbols;Symbol"/>
    </w:rPr>
  </w:style>
  <w:style w:type="character" w:styleId="WW8Num37z0">
    <w:name w:val="WW8Num37z0"/>
    <w:qFormat/>
    <w:rPr>
      <w:rFonts w:ascii="WP TypographicSymbols;Symbol" w:hAnsi="WP TypographicSymbols;Symbol" w:cs="WP TypographicSymbols;Symbol"/>
    </w:rPr>
  </w:style>
  <w:style w:type="character" w:styleId="WW8Num38z0">
    <w:name w:val="WW8Num38z0"/>
    <w:qFormat/>
    <w:rPr>
      <w:rFonts w:ascii="WP TypographicSymbols;Symbol" w:hAnsi="WP TypographicSymbols;Symbol" w:cs="WP TypographicSymbols;Symbol"/>
    </w:rPr>
  </w:style>
  <w:style w:type="character" w:styleId="WW8Num39z0">
    <w:name w:val="WW8Num39z0"/>
    <w:qFormat/>
    <w:rPr>
      <w:rFonts w:ascii="WP TypographicSymbols;Symbol" w:hAnsi="WP TypographicSymbols;Symbol" w:cs="WP TypographicSymbols;Symbol"/>
    </w:rPr>
  </w:style>
  <w:style w:type="character" w:styleId="WW8Num40z0">
    <w:name w:val="WW8Num40z0"/>
    <w:qFormat/>
    <w:rPr>
      <w:rFonts w:ascii="WP TypographicSymbols;Symbol" w:hAnsi="WP TypographicSymbols;Symbol" w:cs="WP TypographicSymbols;Symbol"/>
    </w:rPr>
  </w:style>
  <w:style w:type="character" w:styleId="WW8Num41z0">
    <w:name w:val="WW8Num41z0"/>
    <w:qFormat/>
    <w:rPr>
      <w:rFonts w:ascii="WP TypographicSymbols;Symbol" w:hAnsi="WP TypographicSymbols;Symbol" w:cs="WP TypographicSymbols;Symbol"/>
    </w:rPr>
  </w:style>
  <w:style w:type="character" w:styleId="WW8Num43z0">
    <w:name w:val="WW8Num43z0"/>
    <w:qFormat/>
    <w:rPr>
      <w:rFonts w:ascii="WP TypographicSymbols;Symbol" w:hAnsi="WP TypographicSymbols;Symbol" w:cs="WP TypographicSymbols;Symbol"/>
    </w:rPr>
  </w:style>
  <w:style w:type="character" w:styleId="WW8Num44z0">
    <w:name w:val="WW8Num44z0"/>
    <w:qFormat/>
    <w:rPr>
      <w:rFonts w:ascii="WP TypographicSymbols;Symbol" w:hAnsi="WP TypographicSymbols;Symbol" w:cs="WP TypographicSymbol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P TypographicSymbols;Symbol" w:hAnsi="WP TypographicSymbols;Symbol" w:cs="WP TypographicSymbols;Symbol"/>
    </w:rPr>
  </w:style>
  <w:style w:type="character" w:styleId="WW8Num48z0">
    <w:name w:val="WW8Num48z0"/>
    <w:qFormat/>
    <w:rPr>
      <w:rFonts w:ascii="Symbol" w:hAnsi="Symbol" w:cs="Symbol"/>
    </w:rPr>
  </w:style>
  <w:style w:type="character" w:styleId="WW8Num49z0">
    <w:name w:val="WW8Num49z0"/>
    <w:qFormat/>
    <w:rPr>
      <w:rFonts w:ascii="WP TypographicSymbols;Symbol" w:hAnsi="WP TypographicSymbols;Symbol" w:cs="WP TypographicSymbol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P TypographicSymbols;Symbol" w:hAnsi="WP TypographicSymbols;Symbol" w:cs="WP TypographicSymbols;Symbol"/>
    </w:rPr>
  </w:style>
  <w:style w:type="character" w:styleId="WW8Num54z0">
    <w:name w:val="WW8Num54z0"/>
    <w:qFormat/>
    <w:rPr>
      <w:rFonts w:ascii="WP TypographicSymbols;Symbol" w:hAnsi="WP TypographicSymbols;Symbol" w:cs="WP TypographicSymbols;Symbol"/>
    </w:rPr>
  </w:style>
  <w:style w:type="character" w:styleId="WW8Num55z0">
    <w:name w:val="WW8Num55z0"/>
    <w:qFormat/>
    <w:rPr>
      <w:rFonts w:ascii="WP TypographicSymbols;Symbol" w:hAnsi="WP TypographicSymbols;Symbol" w:cs="WP TypographicSymbols;Symbol"/>
    </w:rPr>
  </w:style>
  <w:style w:type="character" w:styleId="WW8Num56z0">
    <w:name w:val="WW8Num56z0"/>
    <w:qFormat/>
    <w:rPr>
      <w:rFonts w:ascii="WP TypographicSymbols;Symbol" w:hAnsi="WP TypographicSymbols;Symbol" w:cs="WP TypographicSymbols;Symbol"/>
    </w:rPr>
  </w:style>
  <w:style w:type="character" w:styleId="WW8Num57z0">
    <w:name w:val="WW8Num57z0"/>
    <w:qFormat/>
    <w:rPr>
      <w:rFonts w:ascii="WP TypographicSymbols;Symbol" w:hAnsi="WP TypographicSymbols;Symbol" w:cs="WP TypographicSymbols;Symbol"/>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WP TypographicSymbols;Symbol" w:hAnsi="WP TypographicSymbols;Symbol" w:cs="WP TypographicSymbols;Symbol"/>
    </w:rPr>
  </w:style>
  <w:style w:type="character" w:styleId="WW8Num61z0">
    <w:name w:val="WW8Num61z0"/>
    <w:qFormat/>
    <w:rPr>
      <w:rFonts w:ascii="WP TypographicSymbols;Symbol" w:hAnsi="WP TypographicSymbols;Symbol" w:cs="WP TypographicSymbols;Symbol"/>
    </w:rPr>
  </w:style>
  <w:style w:type="character" w:styleId="WW8Num62z0">
    <w:name w:val="WW8Num62z0"/>
    <w:qFormat/>
    <w:rPr>
      <w:rFonts w:ascii="WP TypographicSymbols;Symbol" w:hAnsi="WP TypographicSymbols;Symbol" w:cs="WP TypographicSymbols;Symbol"/>
    </w:rPr>
  </w:style>
  <w:style w:type="character" w:styleId="WW8Num63z0">
    <w:name w:val="WW8Num63z0"/>
    <w:qFormat/>
    <w:rPr>
      <w:rFonts w:ascii="WP TypographicSymbols;Symbol" w:hAnsi="WP TypographicSymbols;Symbol" w:cs="WP TypographicSymbols;Symbol"/>
    </w:rPr>
  </w:style>
  <w:style w:type="character" w:styleId="WW8Num64z0">
    <w:name w:val="WW8Num64z0"/>
    <w:qFormat/>
    <w:rPr>
      <w:rFonts w:ascii="WP TypographicSymbols;Symbol" w:hAnsi="WP TypographicSymbols;Symbol" w:cs="WP TypographicSymbol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widowControl w:val="false"/>
      <w:numPr>
        <w:ilvl w:val="0"/>
        <w:numId w:val="2"/>
      </w:numPr>
      <w:ind w:hanging="720" w:start="720" w:end="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Header">
    <w:name w:val="head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style>
  <w:style w:type="paragraph" w:styleId="BodyText2">
    <w:name w:val="Body Text 2"/>
    <w:basedOn w:val="Normal"/>
    <w:qFormat/>
    <w:pPr>
      <w:jc w:val="both"/>
    </w:pPr>
    <w:rPr/>
  </w:style>
  <w:style w:type="paragraph" w:styleId="BodyTextIndent3">
    <w:name w:val="Body Text Indent 3"/>
    <w:basedOn w:val="Normal"/>
    <w:qFormat/>
    <w:pPr>
      <w:ind w:hanging="72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BCCK Letterhead.dot</Template>
  <TotalTime>468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2001-05-10T14:22:00Z</dcterms:created>
  <dc:creator>Ken Krisa</dc:creator>
  <dc:description/>
  <dc:language>en-CA</dc:language>
  <cp:lastModifiedBy>Ken Krisa</cp:lastModifiedBy>
  <cp:lastPrinted>2000-10-30T10:51:00Z</cp:lastPrinted>
  <dcterms:modified xsi:type="dcterms:W3CDTF">2001-05-14T12:01:00Z</dcterms:modified>
  <cp:revision>11</cp:revision>
  <dc:subject/>
  <dc:title>July 20, 2000</dc:title>
</cp:coreProperties>
</file>